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5A" w:rsidRPr="0078455A" w:rsidRDefault="0078455A" w:rsidP="0078455A">
      <w:pPr>
        <w:pStyle w:val="Heading3"/>
      </w:pPr>
      <w:r>
        <w:t>Savings and Implementation</w:t>
      </w:r>
    </w:p>
    <w:p w:rsidR="000B1493" w:rsidRDefault="000B1493" w:rsidP="000B1493"/>
    <w:tbl>
      <w:tblPr>
        <w:tblpPr w:leftFromText="180" w:rightFromText="180" w:vertAnchor="text" w:tblpY="1"/>
        <w:tblOverlap w:val="never"/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610"/>
      </w:tblGrid>
      <w:tr w:rsidR="000B1493" w:rsidRPr="007C2082" w:rsidTr="001922A6">
        <w:tc>
          <w:tcPr>
            <w:tcW w:w="2880" w:type="dxa"/>
          </w:tcPr>
          <w:p w:rsidR="000B1493" w:rsidRPr="007C2082" w:rsidRDefault="000B1493" w:rsidP="001922A6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 w:rsidRPr="007C2082">
              <w:rPr>
                <w:spacing w:val="-3"/>
              </w:rPr>
              <w:t>Estimated Energy Savings</w:t>
            </w:r>
          </w:p>
        </w:tc>
        <w:tc>
          <w:tcPr>
            <w:tcW w:w="2610" w:type="dxa"/>
          </w:tcPr>
          <w:p w:rsidR="000B1493" w:rsidRPr="007C2082" w:rsidRDefault="000B1493" w:rsidP="001922A6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t>33,782,400</w:t>
            </w:r>
            <w:r>
              <w:t xml:space="preserve"> </w:t>
            </w:r>
            <w:r w:rsidRPr="007C2082">
              <w:t>kWh/yr</w:t>
            </w:r>
          </w:p>
        </w:tc>
      </w:tr>
      <w:tr w:rsidR="000B1493" w:rsidRPr="007C2082" w:rsidTr="001922A6">
        <w:tc>
          <w:tcPr>
            <w:tcW w:w="2880" w:type="dxa"/>
          </w:tcPr>
          <w:p w:rsidR="000B1493" w:rsidRPr="007C2082" w:rsidRDefault="000B1493" w:rsidP="001922A6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 w:rsidRPr="007C2082">
              <w:rPr>
                <w:spacing w:val="-3"/>
              </w:rPr>
              <w:t>Estimated Demand Savings</w:t>
            </w:r>
          </w:p>
        </w:tc>
        <w:tc>
          <w:tcPr>
            <w:tcW w:w="2610" w:type="dxa"/>
          </w:tcPr>
          <w:p w:rsidR="000B1493" w:rsidRPr="00F047B2" w:rsidRDefault="000B1493" w:rsidP="001922A6">
            <w:pPr>
              <w:tabs>
                <w:tab w:val="left" w:pos="-720"/>
              </w:tabs>
              <w:suppressAutoHyphens/>
              <w:rPr>
                <w:i/>
                <w:spacing w:val="-3"/>
              </w:rPr>
            </w:pPr>
            <w:r>
              <w:rPr>
                <w:i/>
              </w:rPr>
              <w:t xml:space="preserve">Varies </w:t>
            </w:r>
            <w:r>
              <w:rPr>
                <w:i/>
              </w:rPr>
              <w:t>with Load</w:t>
            </w:r>
          </w:p>
        </w:tc>
      </w:tr>
      <w:tr w:rsidR="000B1493" w:rsidRPr="007C2082" w:rsidTr="001922A6">
        <w:tc>
          <w:tcPr>
            <w:tcW w:w="2880" w:type="dxa"/>
          </w:tcPr>
          <w:p w:rsidR="000B1493" w:rsidRPr="007C2082" w:rsidRDefault="000B1493" w:rsidP="001922A6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 w:rsidRPr="007C2082">
              <w:t>Implementation Cost</w:t>
            </w:r>
          </w:p>
        </w:tc>
        <w:tc>
          <w:tcPr>
            <w:tcW w:w="2610" w:type="dxa"/>
          </w:tcPr>
          <w:p w:rsidR="000B1493" w:rsidRPr="007C2082" w:rsidRDefault="000B1493" w:rsidP="001922A6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r w:rsidRPr="007C2082">
              <w:t>$</w:t>
            </w:r>
            <w:r w:rsidR="0078455A">
              <w:t>15</w:t>
            </w:r>
            <w:r>
              <w:t>,000,000</w:t>
            </w:r>
          </w:p>
        </w:tc>
      </w:tr>
    </w:tbl>
    <w:p w:rsidR="000B1493" w:rsidRDefault="000B1493" w:rsidP="000B1493">
      <w:pPr>
        <w:pStyle w:val="Heading3"/>
      </w:pPr>
    </w:p>
    <w:p w:rsidR="000B1493" w:rsidRDefault="000B1493" w:rsidP="000B1493">
      <w:pPr>
        <w:pStyle w:val="Heading3"/>
      </w:pPr>
    </w:p>
    <w:p w:rsidR="000B1493" w:rsidRDefault="000B1493" w:rsidP="000B1493">
      <w:pPr>
        <w:pStyle w:val="Heading3"/>
      </w:pPr>
    </w:p>
    <w:p w:rsidR="000B1493" w:rsidRDefault="000B1493" w:rsidP="000B1493">
      <w:pPr>
        <w:pStyle w:val="Heading3"/>
      </w:pPr>
    </w:p>
    <w:p w:rsidR="000B1493" w:rsidRPr="00D40C37" w:rsidRDefault="000B1493" w:rsidP="000B1493">
      <w:pPr>
        <w:pStyle w:val="Heading3"/>
      </w:pPr>
      <w:r>
        <w:t>Anticipated Power</w:t>
      </w:r>
      <w:r w:rsidRPr="00D40C37">
        <w:t xml:space="preserve"> Savings</w:t>
      </w:r>
    </w:p>
    <w:p w:rsidR="000B1493" w:rsidRDefault="000B1493" w:rsidP="000B1493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  <w:t>The Power savings, P, can be calculated as follows:</w:t>
      </w:r>
    </w:p>
    <w:tbl>
      <w:tblPr>
        <w:tblStyle w:val="TableGrid"/>
        <w:tblpPr w:leftFromText="180" w:rightFromText="180" w:vertAnchor="text" w:horzAnchor="page" w:tblpX="2214" w:tblpY="64"/>
        <w:tblW w:w="0" w:type="auto"/>
        <w:tblLook w:val="04A0"/>
      </w:tblPr>
      <w:tblGrid>
        <w:gridCol w:w="720"/>
        <w:gridCol w:w="360"/>
        <w:gridCol w:w="3420"/>
      </w:tblGrid>
      <w:tr w:rsidR="000B1493" w:rsidTr="001922A6">
        <w:trPr>
          <w:trHeight w:val="494"/>
        </w:trPr>
        <w:tc>
          <w:tcPr>
            <w:tcW w:w="720" w:type="dxa"/>
            <w:vAlign w:val="center"/>
          </w:tcPr>
          <w:p w:rsidR="000B1493" w:rsidRPr="00FA2539" w:rsidRDefault="000B1493" w:rsidP="001922A6">
            <w:pPr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360" w:type="dxa"/>
            <w:vAlign w:val="center"/>
          </w:tcPr>
          <w:p w:rsidR="000B1493" w:rsidRDefault="000B1493" w:rsidP="001922A6">
            <w:r>
              <w:t>=</w:t>
            </w:r>
          </w:p>
        </w:tc>
        <w:tc>
          <w:tcPr>
            <w:tcW w:w="3420" w:type="dxa"/>
            <w:vAlign w:val="center"/>
          </w:tcPr>
          <w:p w:rsidR="000B1493" w:rsidRDefault="000B1493" w:rsidP="001922A6">
            <w:r>
              <w:t>Power Usage per year kWh/yr</w:t>
            </w:r>
          </w:p>
        </w:tc>
      </w:tr>
      <w:tr w:rsidR="000B1493" w:rsidTr="001922A6">
        <w:trPr>
          <w:trHeight w:val="494"/>
        </w:trPr>
        <w:tc>
          <w:tcPr>
            <w:tcW w:w="720" w:type="dxa"/>
            <w:vAlign w:val="center"/>
          </w:tcPr>
          <w:p w:rsidR="000B1493" w:rsidRDefault="000B1493" w:rsidP="001922A6">
            <w:pPr>
              <w:rPr>
                <w:i/>
              </w:rPr>
            </w:pPr>
          </w:p>
        </w:tc>
        <w:tc>
          <w:tcPr>
            <w:tcW w:w="360" w:type="dxa"/>
            <w:vAlign w:val="center"/>
          </w:tcPr>
          <w:p w:rsidR="000B1493" w:rsidRDefault="000B1493" w:rsidP="001922A6">
            <w:r>
              <w:t>=</w:t>
            </w:r>
          </w:p>
        </w:tc>
        <w:tc>
          <w:tcPr>
            <w:tcW w:w="3420" w:type="dxa"/>
            <w:vAlign w:val="center"/>
          </w:tcPr>
          <w:p w:rsidR="000B1493" w:rsidRDefault="000B1493" w:rsidP="001922A6">
            <w:r>
              <w:t>33.78x10</w:t>
            </w:r>
            <w:r>
              <w:rPr>
                <w:vertAlign w:val="superscript"/>
              </w:rPr>
              <w:t>6</w:t>
            </w:r>
            <w:r>
              <w:t xml:space="preserve"> kWh/yr</w:t>
            </w:r>
          </w:p>
        </w:tc>
      </w:tr>
    </w:tbl>
    <w:p w:rsidR="000B1493" w:rsidRDefault="000B1493" w:rsidP="000B1493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</w:t>
      </w:r>
    </w:p>
    <w:p w:rsidR="000B1493" w:rsidRDefault="000B1493" w:rsidP="000B1493">
      <w:pPr>
        <w:tabs>
          <w:tab w:val="left" w:pos="-720"/>
        </w:tabs>
        <w:suppressAutoHyphens/>
        <w:jc w:val="both"/>
        <w:rPr>
          <w:spacing w:val="-3"/>
        </w:rPr>
      </w:pPr>
    </w:p>
    <w:p w:rsidR="000B1493" w:rsidRDefault="000B1493" w:rsidP="000B1493">
      <w:pPr>
        <w:pStyle w:val="Heading3"/>
      </w:pPr>
    </w:p>
    <w:p w:rsidR="000B1493" w:rsidRPr="00D40C37" w:rsidRDefault="000B1493" w:rsidP="000B1493">
      <w:pPr>
        <w:pStyle w:val="Heading3"/>
      </w:pPr>
      <w:r w:rsidRPr="00D40C37">
        <w:t>Implementation Cost</w:t>
      </w:r>
    </w:p>
    <w:p w:rsidR="000B1493" w:rsidRDefault="000B1493" w:rsidP="000B1493">
      <w:pPr>
        <w:jc w:val="both"/>
        <w:rPr>
          <w:b/>
          <w:sz w:val="24"/>
          <w:szCs w:val="24"/>
          <w:u w:val="single"/>
        </w:rPr>
      </w:pPr>
      <w:r w:rsidRPr="007A6FAB">
        <w:t xml:space="preserve">The implementation cost for this recommendation is the cost of </w:t>
      </w:r>
      <w:r>
        <w:t xml:space="preserve">the 34.3MW Vectra 40G system. </w:t>
      </w:r>
      <w:r w:rsidRPr="007A6FAB">
        <w:t xml:space="preserve"> </w:t>
      </w:r>
      <w:r>
        <w:t>The cost of the 40G turbine system is $15,000,000.</w:t>
      </w:r>
      <w:r>
        <w:rPr>
          <w:vertAlign w:val="superscript"/>
        </w:rPr>
        <w:t xml:space="preserve"> (2) </w:t>
      </w:r>
      <w:r>
        <w:t xml:space="preserve"> This amount only covers the amount of the equipment and not the infrastructure, piping, or the installation. It is hard to determine this amount but it may be as hig</w:t>
      </w:r>
      <w:r w:rsidR="003C0977">
        <w:t xml:space="preserve">h as the cost of the system its </w:t>
      </w:r>
      <w:r>
        <w:t>self</w:t>
      </w:r>
      <w:proofErr w:type="gramStart"/>
      <w:r>
        <w:t>.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1)(3)</w:t>
      </w:r>
      <w:r>
        <w:t xml:space="preserve"> Therefore, the implementation cost for the 34.3 MW </w:t>
      </w:r>
      <w:r w:rsidR="004707D9">
        <w:t xml:space="preserve">system cannot be determined at this time without knowledge of the current </w:t>
      </w:r>
      <w:r>
        <w:t xml:space="preserve"> infrastructure</w:t>
      </w:r>
      <w:r w:rsidR="004707D9">
        <w:t xml:space="preserve"> and piping</w:t>
      </w:r>
      <w:r>
        <w:t xml:space="preserve">.  </w:t>
      </w:r>
      <w:r w:rsidR="004707D9">
        <w:t xml:space="preserve">The implementation cost </w:t>
      </w:r>
      <w:r>
        <w:t xml:space="preserve">is beyond the scope of the project and should be looked at </w:t>
      </w:r>
      <w:r w:rsidR="004707D9">
        <w:t xml:space="preserve">further to </w:t>
      </w:r>
      <w:r>
        <w:t xml:space="preserve">determine a more accurate number. </w:t>
      </w:r>
    </w:p>
    <w:p w:rsidR="000B1493" w:rsidRDefault="000B1493" w:rsidP="000B1493">
      <w:pPr>
        <w:jc w:val="both"/>
        <w:rPr>
          <w:b/>
          <w:sz w:val="24"/>
          <w:szCs w:val="24"/>
          <w:u w:val="single"/>
        </w:rPr>
      </w:pPr>
    </w:p>
    <w:p w:rsidR="000B1493" w:rsidRPr="0078455A" w:rsidRDefault="000B1493" w:rsidP="0078455A">
      <w:pPr>
        <w:pStyle w:val="Heading3"/>
      </w:pPr>
      <w:r w:rsidRPr="0078455A">
        <w:t>Annual cost of recommended system</w:t>
      </w:r>
      <w:r w:rsidR="0078455A">
        <w:t xml:space="preserve"> </w:t>
      </w:r>
    </w:p>
    <w:p w:rsidR="000B1493" w:rsidRDefault="000B1493" w:rsidP="000B1493">
      <w:pPr>
        <w:jc w:val="both"/>
      </w:pPr>
      <w:r>
        <w:t>The recommended system runs on Methane and will require no further power generation assistance from SDGE. The price of Methane in 2010 was $0.1859/m</w:t>
      </w:r>
      <w:r>
        <w:rPr>
          <w:vertAlign w:val="superscript"/>
        </w:rPr>
        <w:t>3 (1)</w:t>
      </w:r>
      <w:r>
        <w:t>.</w:t>
      </w:r>
      <w:r w:rsidRPr="00514FF9">
        <w:t xml:space="preserve"> </w:t>
      </w:r>
      <w:r>
        <w:t xml:space="preserve">The plants annual cost will increase from $2,600,000 for the cost of the power from SDGE to $7,024,400 for the cost of the Methane. By increasing our system the power will also increase </w:t>
      </w:r>
      <w:r w:rsidR="004707D9">
        <w:t>of</w:t>
      </w:r>
      <w:r w:rsidR="00491FFB">
        <w:t xml:space="preserve"> 19M</w:t>
      </w:r>
      <w:r>
        <w:t xml:space="preserve">W. After careful calculations we were able to approximate a methane demand with a flow rate of </w:t>
      </w:r>
      <w:r w:rsidR="004707D9">
        <w:t>0</w:t>
      </w:r>
      <w:r>
        <w:t>.8(Kg/s). Furthermore, we were able to determine annual operating costs of $7,024,400 as calculated below. This price does not include maintenance.  Therefore; the annual yearly cost will vary.</w:t>
      </w:r>
    </w:p>
    <w:p w:rsidR="0078455A" w:rsidRDefault="0078455A" w:rsidP="000B1493">
      <w:pPr>
        <w:jc w:val="both"/>
      </w:pPr>
    </w:p>
    <w:p w:rsidR="0078455A" w:rsidRDefault="0078455A" w:rsidP="000B1493">
      <w:pPr>
        <w:jc w:val="both"/>
      </w:pPr>
    </w:p>
    <w:p w:rsidR="0078455A" w:rsidRPr="0078455A" w:rsidRDefault="0078455A" w:rsidP="0078455A">
      <w:pPr>
        <w:pStyle w:val="Heading3"/>
      </w:pPr>
      <w:r>
        <w:t>Anticipated Annual Cost</w:t>
      </w:r>
    </w:p>
    <w:tbl>
      <w:tblPr>
        <w:tblStyle w:val="TableGrid"/>
        <w:tblW w:w="9165" w:type="dxa"/>
        <w:tblInd w:w="648" w:type="dxa"/>
        <w:tblLook w:val="04A0"/>
      </w:tblPr>
      <w:tblGrid>
        <w:gridCol w:w="739"/>
        <w:gridCol w:w="370"/>
        <w:gridCol w:w="8056"/>
      </w:tblGrid>
      <w:tr w:rsidR="000B1493" w:rsidTr="001922A6">
        <w:trPr>
          <w:trHeight w:val="470"/>
        </w:trPr>
        <w:tc>
          <w:tcPr>
            <w:tcW w:w="739" w:type="dxa"/>
          </w:tcPr>
          <w:p w:rsidR="000B1493" w:rsidRPr="00B96ED4" w:rsidRDefault="000B1493" w:rsidP="001922A6">
            <w:pPr>
              <w:jc w:val="both"/>
            </w:pPr>
            <w:r>
              <w:t>OC</w:t>
            </w:r>
          </w:p>
        </w:tc>
        <w:tc>
          <w:tcPr>
            <w:tcW w:w="370" w:type="dxa"/>
          </w:tcPr>
          <w:p w:rsidR="000B1493" w:rsidRPr="00B96ED4" w:rsidRDefault="000B1493" w:rsidP="001922A6">
            <w:pPr>
              <w:jc w:val="both"/>
            </w:pPr>
            <w:r>
              <w:t>=</w:t>
            </w:r>
          </w:p>
        </w:tc>
        <w:tc>
          <w:tcPr>
            <w:tcW w:w="8056" w:type="dxa"/>
          </w:tcPr>
          <w:p w:rsidR="000B1493" w:rsidRPr="00B96ED4" w:rsidRDefault="000B1493" w:rsidP="001922A6">
            <w:pPr>
              <w:jc w:val="both"/>
            </w:pPr>
            <w:r>
              <w:t>Operating cost</w:t>
            </w:r>
          </w:p>
        </w:tc>
      </w:tr>
      <w:tr w:rsidR="000B1493" w:rsidTr="001922A6">
        <w:trPr>
          <w:trHeight w:val="470"/>
        </w:trPr>
        <w:tc>
          <w:tcPr>
            <w:tcW w:w="739" w:type="dxa"/>
          </w:tcPr>
          <w:p w:rsidR="000B1493" w:rsidRPr="00B96ED4" w:rsidRDefault="000B1493" w:rsidP="001922A6">
            <w:pPr>
              <w:jc w:val="both"/>
            </w:pPr>
            <w:r w:rsidRPr="00B96ED4">
              <w:t>C</w:t>
            </w:r>
          </w:p>
        </w:tc>
        <w:tc>
          <w:tcPr>
            <w:tcW w:w="370" w:type="dxa"/>
          </w:tcPr>
          <w:p w:rsidR="000B1493" w:rsidRPr="00B96ED4" w:rsidRDefault="000B1493" w:rsidP="001922A6">
            <w:pPr>
              <w:jc w:val="both"/>
            </w:pPr>
            <w:r w:rsidRPr="00B96ED4">
              <w:t>=</w:t>
            </w:r>
          </w:p>
        </w:tc>
        <w:tc>
          <w:tcPr>
            <w:tcW w:w="8056" w:type="dxa"/>
          </w:tcPr>
          <w:p w:rsidR="000B1493" w:rsidRPr="00B96ED4" w:rsidRDefault="000B1493" w:rsidP="001922A6">
            <w:pPr>
              <w:jc w:val="both"/>
            </w:pPr>
            <w:r w:rsidRPr="00B96ED4">
              <w:t>Cost per term</w:t>
            </w:r>
          </w:p>
        </w:tc>
      </w:tr>
      <w:tr w:rsidR="000B1493" w:rsidTr="001922A6">
        <w:trPr>
          <w:trHeight w:val="563"/>
        </w:trPr>
        <w:tc>
          <w:tcPr>
            <w:tcW w:w="739" w:type="dxa"/>
          </w:tcPr>
          <w:p w:rsidR="000B1493" w:rsidRPr="00B96ED4" w:rsidRDefault="00E66FDE" w:rsidP="001922A6">
            <w:pPr>
              <w:jc w:val="both"/>
            </w:pPr>
            <w:r>
              <w:t>m</w:t>
            </w:r>
          </w:p>
        </w:tc>
        <w:tc>
          <w:tcPr>
            <w:tcW w:w="370" w:type="dxa"/>
          </w:tcPr>
          <w:p w:rsidR="000B1493" w:rsidRPr="00B96ED4" w:rsidRDefault="000B1493" w:rsidP="001922A6">
            <w:pPr>
              <w:jc w:val="both"/>
            </w:pPr>
            <w:r w:rsidRPr="00B96ED4">
              <w:t>=</w:t>
            </w:r>
          </w:p>
        </w:tc>
        <w:tc>
          <w:tcPr>
            <w:tcW w:w="8056" w:type="dxa"/>
          </w:tcPr>
          <w:p w:rsidR="000B1493" w:rsidRPr="00B96ED4" w:rsidRDefault="000B1493" w:rsidP="001922A6">
            <w:pPr>
              <w:jc w:val="both"/>
            </w:pPr>
            <w:r w:rsidRPr="00B96ED4">
              <w:t>Mass flow rate</w:t>
            </w:r>
          </w:p>
        </w:tc>
      </w:tr>
      <w:tr w:rsidR="000B1493" w:rsidTr="001922A6">
        <w:trPr>
          <w:trHeight w:val="552"/>
        </w:trPr>
        <w:tc>
          <w:tcPr>
            <w:tcW w:w="739" w:type="dxa"/>
          </w:tcPr>
          <w:p w:rsidR="000B1493" w:rsidRPr="003921AC" w:rsidRDefault="00E66FDE" w:rsidP="001922A6">
            <w:pPr>
              <w:jc w:val="both"/>
              <w:rPr>
                <w:vertAlign w:val="subscript"/>
              </w:rPr>
            </w:pPr>
            <w:r>
              <w:t>k</w:t>
            </w:r>
          </w:p>
        </w:tc>
        <w:tc>
          <w:tcPr>
            <w:tcW w:w="370" w:type="dxa"/>
          </w:tcPr>
          <w:p w:rsidR="000B1493" w:rsidRPr="00B96ED4" w:rsidRDefault="000B1493" w:rsidP="001922A6">
            <w:pPr>
              <w:jc w:val="both"/>
            </w:pPr>
            <w:r w:rsidRPr="00B96ED4">
              <w:t>=</w:t>
            </w:r>
          </w:p>
        </w:tc>
        <w:tc>
          <w:tcPr>
            <w:tcW w:w="8056" w:type="dxa"/>
          </w:tcPr>
          <w:p w:rsidR="000B1493" w:rsidRPr="00B96ED4" w:rsidRDefault="000B1493" w:rsidP="001922A6">
            <w:pPr>
              <w:jc w:val="both"/>
            </w:pPr>
            <w:r w:rsidRPr="00B96ED4">
              <w:t xml:space="preserve">Conversion </w:t>
            </w:r>
            <w:r>
              <w:t>factor from second to</w:t>
            </w:r>
            <w:r w:rsidRPr="00B96ED4">
              <w:t xml:space="preserve"> year</w:t>
            </w:r>
          </w:p>
        </w:tc>
      </w:tr>
      <w:tr w:rsidR="000B1493" w:rsidTr="001922A6">
        <w:trPr>
          <w:trHeight w:val="552"/>
        </w:trPr>
        <w:tc>
          <w:tcPr>
            <w:tcW w:w="739" w:type="dxa"/>
          </w:tcPr>
          <w:p w:rsidR="000B1493" w:rsidRPr="00B96ED4" w:rsidRDefault="00E66FDE" w:rsidP="001922A6">
            <w:pPr>
              <w:jc w:val="both"/>
            </w:pPr>
            <w:r>
              <w:t>d</w:t>
            </w:r>
          </w:p>
        </w:tc>
        <w:tc>
          <w:tcPr>
            <w:tcW w:w="370" w:type="dxa"/>
          </w:tcPr>
          <w:p w:rsidR="000B1493" w:rsidRPr="00B96ED4" w:rsidRDefault="000B1493" w:rsidP="001922A6">
            <w:pPr>
              <w:jc w:val="both"/>
            </w:pPr>
            <w:r>
              <w:t>=</w:t>
            </w:r>
          </w:p>
        </w:tc>
        <w:tc>
          <w:tcPr>
            <w:tcW w:w="8056" w:type="dxa"/>
          </w:tcPr>
          <w:p w:rsidR="000B1493" w:rsidRPr="00B96ED4" w:rsidRDefault="000B1493" w:rsidP="001922A6">
            <w:pPr>
              <w:jc w:val="both"/>
            </w:pPr>
            <w:r>
              <w:t>Density</w:t>
            </w:r>
          </w:p>
        </w:tc>
      </w:tr>
    </w:tbl>
    <w:p w:rsidR="000B1493" w:rsidRPr="0020437D" w:rsidRDefault="000B1493" w:rsidP="000B1493">
      <w:pPr>
        <w:jc w:val="both"/>
        <w:rPr>
          <w:b/>
          <w:u w:val="single"/>
        </w:rPr>
      </w:pPr>
    </w:p>
    <w:p w:rsidR="000B1493" w:rsidRDefault="000B1493" w:rsidP="000B1493"/>
    <w:tbl>
      <w:tblPr>
        <w:tblStyle w:val="TableGrid"/>
        <w:tblW w:w="0" w:type="auto"/>
        <w:tblInd w:w="648" w:type="dxa"/>
        <w:tblLook w:val="04A0"/>
      </w:tblPr>
      <w:tblGrid>
        <w:gridCol w:w="720"/>
        <w:gridCol w:w="360"/>
        <w:gridCol w:w="7848"/>
      </w:tblGrid>
      <w:tr w:rsidR="000B1493" w:rsidTr="001922A6">
        <w:trPr>
          <w:trHeight w:val="584"/>
        </w:trPr>
        <w:tc>
          <w:tcPr>
            <w:tcW w:w="720" w:type="dxa"/>
          </w:tcPr>
          <w:p w:rsidR="000B1493" w:rsidRDefault="000B1493" w:rsidP="001922A6">
            <w:r>
              <w:t>OC</w:t>
            </w:r>
          </w:p>
        </w:tc>
        <w:tc>
          <w:tcPr>
            <w:tcW w:w="360" w:type="dxa"/>
          </w:tcPr>
          <w:p w:rsidR="000B1493" w:rsidRDefault="000B1493" w:rsidP="001922A6">
            <w:r>
              <w:t>=</w:t>
            </w:r>
          </w:p>
        </w:tc>
        <w:tc>
          <w:tcPr>
            <w:tcW w:w="7848" w:type="dxa"/>
          </w:tcPr>
          <w:p w:rsidR="000B1493" w:rsidRDefault="000B1493" w:rsidP="001922A6">
            <w:r>
              <w:t>[(C) (m) (k)]  /(d)</w:t>
            </w:r>
          </w:p>
        </w:tc>
      </w:tr>
      <w:tr w:rsidR="000B1493" w:rsidTr="001922A6">
        <w:trPr>
          <w:trHeight w:val="548"/>
        </w:trPr>
        <w:tc>
          <w:tcPr>
            <w:tcW w:w="720" w:type="dxa"/>
          </w:tcPr>
          <w:p w:rsidR="000B1493" w:rsidRDefault="000B1493" w:rsidP="001922A6">
            <w:r>
              <w:t>OC</w:t>
            </w:r>
          </w:p>
        </w:tc>
        <w:tc>
          <w:tcPr>
            <w:tcW w:w="360" w:type="dxa"/>
          </w:tcPr>
          <w:p w:rsidR="000B1493" w:rsidRDefault="000B1493" w:rsidP="001922A6">
            <w:r>
              <w:t>=</w:t>
            </w:r>
          </w:p>
        </w:tc>
        <w:tc>
          <w:tcPr>
            <w:tcW w:w="7848" w:type="dxa"/>
          </w:tcPr>
          <w:p w:rsidR="000B1493" w:rsidRDefault="000B1493" w:rsidP="001922A6">
            <w:r>
              <w:t>[(.1859) (0.8) (31,556,926)] / (.668) per yr</w:t>
            </w:r>
          </w:p>
        </w:tc>
      </w:tr>
      <w:tr w:rsidR="000B1493" w:rsidTr="001922A6">
        <w:trPr>
          <w:trHeight w:val="548"/>
        </w:trPr>
        <w:tc>
          <w:tcPr>
            <w:tcW w:w="720" w:type="dxa"/>
          </w:tcPr>
          <w:p w:rsidR="000B1493" w:rsidRDefault="000B1493" w:rsidP="001922A6"/>
        </w:tc>
        <w:tc>
          <w:tcPr>
            <w:tcW w:w="360" w:type="dxa"/>
          </w:tcPr>
          <w:p w:rsidR="000B1493" w:rsidRDefault="000B1493" w:rsidP="001922A6">
            <w:r>
              <w:t>=</w:t>
            </w:r>
          </w:p>
        </w:tc>
        <w:tc>
          <w:tcPr>
            <w:tcW w:w="7848" w:type="dxa"/>
          </w:tcPr>
          <w:p w:rsidR="000B1493" w:rsidRDefault="000B1493" w:rsidP="001922A6">
            <w:r>
              <w:t>$7,024,400/yr</w:t>
            </w:r>
          </w:p>
        </w:tc>
      </w:tr>
    </w:tbl>
    <w:p w:rsidR="000B1493" w:rsidRDefault="000B1493" w:rsidP="000B1493"/>
    <w:p w:rsidR="000B1493" w:rsidRDefault="000B1493" w:rsidP="000B1493"/>
    <w:p w:rsidR="000B1493" w:rsidRDefault="000B1493" w:rsidP="000B1493">
      <w:r>
        <w:t xml:space="preserve"> (1)</w:t>
      </w:r>
      <w:r w:rsidRPr="00244713">
        <w:t>http://www.dresser-rand.com/literature/turbo/85209-GasTurbineBro.pdf</w:t>
      </w:r>
    </w:p>
    <w:p w:rsidR="000B1493" w:rsidRDefault="000B1493" w:rsidP="000B1493">
      <w:r>
        <w:t>(2)</w:t>
      </w:r>
      <w:r w:rsidRPr="0071197C">
        <w:t>http://www.eia.gov/dnav/ng/ng_pri_sum_dcu_nus_a.htm</w:t>
      </w:r>
    </w:p>
    <w:p w:rsidR="000B1493" w:rsidRDefault="000B1493" w:rsidP="000B1493">
      <w:r>
        <w:rPr>
          <w:rFonts w:ascii="Times New Roman" w:hAnsi="Times New Roman"/>
          <w:sz w:val="24"/>
          <w:szCs w:val="24"/>
        </w:rPr>
        <w:t>(3)</w:t>
      </w:r>
      <w:proofErr w:type="gramStart"/>
      <w:r>
        <w:rPr>
          <w:rFonts w:ascii="Times New Roman" w:hAnsi="Times New Roman"/>
          <w:sz w:val="24"/>
          <w:szCs w:val="24"/>
        </w:rPr>
        <w:t>Company, R. S. M. (1997).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Means repair &amp; remodeling cost data 1998, commercial/residential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Robert s Means Co.</w:t>
      </w:r>
      <w:proofErr w:type="gramEnd"/>
    </w:p>
    <w:p w:rsidR="00D6171C" w:rsidRDefault="00D6171C"/>
    <w:sectPr w:rsidR="00D6171C" w:rsidSect="00EA701F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DE" w:rsidRDefault="00E66FDE">
    <w:pPr>
      <w:pStyle w:val="Footer"/>
    </w:pPr>
  </w:p>
  <w:p w:rsidR="00D24DDE" w:rsidRDefault="00E66FD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B1493"/>
    <w:rsid w:val="000B1493"/>
    <w:rsid w:val="002C7D37"/>
    <w:rsid w:val="003C0977"/>
    <w:rsid w:val="004707D9"/>
    <w:rsid w:val="00491FFB"/>
    <w:rsid w:val="0078455A"/>
    <w:rsid w:val="00D20C10"/>
    <w:rsid w:val="00D6171C"/>
    <w:rsid w:val="00DF55D6"/>
    <w:rsid w:val="00E66FDE"/>
    <w:rsid w:val="00EA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93"/>
  </w:style>
  <w:style w:type="paragraph" w:styleId="Heading3">
    <w:name w:val="heading 3"/>
    <w:aliases w:val="UL"/>
    <w:basedOn w:val="Normal"/>
    <w:next w:val="Normal"/>
    <w:link w:val="Heading3Char"/>
    <w:autoRedefine/>
    <w:qFormat/>
    <w:rsid w:val="000B1493"/>
    <w:pPr>
      <w:keepNext/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smallCaps/>
      <w:color w:val="000000"/>
      <w:spacing w:val="-3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UL Char"/>
    <w:basedOn w:val="DefaultParagraphFont"/>
    <w:link w:val="Heading3"/>
    <w:rsid w:val="000B1493"/>
    <w:rPr>
      <w:rFonts w:ascii="Times New Roman" w:eastAsia="Times New Roman" w:hAnsi="Times New Roman" w:cs="Times New Roman"/>
      <w:b/>
      <w:smallCaps/>
      <w:color w:val="000000"/>
      <w:spacing w:val="-3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0B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B1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314</Words>
  <Characters>1794</Characters>
  <Application>Microsoft Office Word</Application>
  <DocSecurity>0</DocSecurity>
  <Lines>14</Lines>
  <Paragraphs>4</Paragraphs>
  <ScaleCrop>false</ScaleCrop>
  <Company>Hewlett-Packard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ritchey</dc:creator>
  <cp:lastModifiedBy>amber ritchey</cp:lastModifiedBy>
  <cp:revision>7</cp:revision>
  <dcterms:created xsi:type="dcterms:W3CDTF">2011-12-11T04:36:00Z</dcterms:created>
  <dcterms:modified xsi:type="dcterms:W3CDTF">2011-12-11T05:30:00Z</dcterms:modified>
</cp:coreProperties>
</file>