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04" w:rsidRDefault="00584DFE" w:rsidP="00932DF8">
      <w:pPr>
        <w:tabs>
          <w:tab w:val="left" w:pos="4680"/>
          <w:tab w:val="left" w:pos="8640"/>
        </w:tabs>
        <w:rPr>
          <w:rStyle w:val="apple-style-span"/>
          <w:rFonts w:ascii="Arial" w:hAnsi="Arial" w:cs="Arial"/>
          <w:color w:val="555555"/>
          <w:sz w:val="18"/>
          <w:szCs w:val="18"/>
          <w:shd w:val="clear" w:color="auto" w:fill="FFFFFF"/>
        </w:rPr>
      </w:pPr>
      <w:bookmarkStart w:id="0" w:name="_GoBack"/>
      <w:r>
        <w:rPr>
          <w:rStyle w:val="apple-style-span"/>
          <w:rFonts w:ascii="Arial" w:hAnsi="Arial" w:cs="Arial"/>
          <w:color w:val="555555"/>
          <w:sz w:val="18"/>
          <w:szCs w:val="18"/>
          <w:shd w:val="clear" w:color="auto" w:fill="FFFFFF"/>
        </w:rPr>
        <w:t xml:space="preserve">Problem #4: Pick a hydrocarbon fuel (post your fuel on the blog under Problem 4 topic so that no one else can pick the same fuel). You are to study how the flame temperature changes as this fuel is burned with air and pure oxygen. You are going to vary the equivalence ratio over a wide range (rich to lean) and see how the flame temperature changes for (a) PG model (two lines on one plot </w:t>
      </w:r>
      <w:proofErr w:type="spellStart"/>
      <w:r>
        <w:rPr>
          <w:rStyle w:val="apple-style-span"/>
          <w:rFonts w:ascii="Arial" w:hAnsi="Arial" w:cs="Arial"/>
          <w:color w:val="555555"/>
          <w:sz w:val="18"/>
          <w:szCs w:val="18"/>
          <w:shd w:val="clear" w:color="auto" w:fill="FFFFFF"/>
        </w:rPr>
        <w:t>Tf</w:t>
      </w:r>
      <w:proofErr w:type="spellEnd"/>
      <w:r>
        <w:rPr>
          <w:rStyle w:val="apple-style-span"/>
          <w:rFonts w:ascii="Arial" w:hAnsi="Arial" w:cs="Arial"/>
          <w:color w:val="555555"/>
          <w:sz w:val="18"/>
          <w:szCs w:val="18"/>
          <w:shd w:val="clear" w:color="auto" w:fill="FFFFFF"/>
        </w:rPr>
        <w:t xml:space="preserve"> </w:t>
      </w:r>
      <w:proofErr w:type="spellStart"/>
      <w:r>
        <w:rPr>
          <w:rStyle w:val="apple-style-span"/>
          <w:rFonts w:ascii="Arial" w:hAnsi="Arial" w:cs="Arial"/>
          <w:color w:val="555555"/>
          <w:sz w:val="18"/>
          <w:szCs w:val="18"/>
          <w:shd w:val="clear" w:color="auto" w:fill="FFFFFF"/>
        </w:rPr>
        <w:t>vs</w:t>
      </w:r>
      <w:proofErr w:type="spellEnd"/>
      <w:r>
        <w:rPr>
          <w:rStyle w:val="apple-style-span"/>
          <w:rFonts w:ascii="Arial" w:hAnsi="Arial" w:cs="Arial"/>
          <w:color w:val="555555"/>
          <w:sz w:val="18"/>
          <w:szCs w:val="18"/>
          <w:shd w:val="clear" w:color="auto" w:fill="FFFFFF"/>
        </w:rPr>
        <w:t xml:space="preserve"> phi), (b) IG model, and (c) equilibrium model. This will generate three plots each with two curves (for air vs. pure oxygen as the oxidizer).</w:t>
      </w:r>
    </w:p>
    <w:p w:rsidR="00584DFE" w:rsidRDefault="00584DFE" w:rsidP="00932DF8">
      <w:pPr>
        <w:tabs>
          <w:tab w:val="left" w:pos="4680"/>
          <w:tab w:val="left" w:pos="8640"/>
        </w:tabs>
        <w:rPr>
          <w:rStyle w:val="apple-style-span"/>
          <w:rFonts w:ascii="Arial" w:hAnsi="Arial" w:cs="Arial"/>
          <w:color w:val="555555"/>
          <w:sz w:val="18"/>
          <w:szCs w:val="18"/>
          <w:shd w:val="clear" w:color="auto" w:fill="FFFFFF"/>
        </w:rPr>
      </w:pPr>
    </w:p>
    <w:p w:rsidR="00584DFE" w:rsidRDefault="00584DFE" w:rsidP="00932DF8">
      <w:pPr>
        <w:tabs>
          <w:tab w:val="left" w:pos="4680"/>
          <w:tab w:val="left" w:pos="8640"/>
        </w:tabs>
      </w:pPr>
      <w:r>
        <w:t>Suppose that an equal ratio of C and CH</w:t>
      </w:r>
      <w:r>
        <w:rPr>
          <w:vertAlign w:val="subscript"/>
        </w:rPr>
        <w:t>4</w:t>
      </w:r>
      <w:r>
        <w:t xml:space="preserve"> will combust. We wish to see the effect of phi on the adiabatic flame temperature for combustion with air as well as pure oxygen. For this problem we will plot the adiabatic flame temperature </w:t>
      </w:r>
      <w:proofErr w:type="spellStart"/>
      <w:r>
        <w:t>vs</w:t>
      </w:r>
      <w:proofErr w:type="spellEnd"/>
      <w:r>
        <w:t xml:space="preserve"> phi for </w:t>
      </w:r>
      <w:r w:rsidRPr="00584DFE">
        <w:t xml:space="preserve">(a) PG model, (b) IG model, and (c) </w:t>
      </w:r>
      <w:r w:rsidR="008A04E6">
        <w:t>the flame temperature as the ratio of fuels changes.</w:t>
      </w:r>
    </w:p>
    <w:p w:rsidR="00584DFE" w:rsidRDefault="00584DFE" w:rsidP="00932DF8">
      <w:pPr>
        <w:tabs>
          <w:tab w:val="left" w:pos="4680"/>
          <w:tab w:val="left" w:pos="8640"/>
        </w:tabs>
      </w:pPr>
      <w:r>
        <w:t>First we must determine the chemical balance for theoretical air. This is done below:</w:t>
      </w:r>
    </w:p>
    <w:p w:rsidR="00584DFE" w:rsidRPr="00584DFE" w:rsidRDefault="00932DF8" w:rsidP="00932DF8">
      <w:pPr>
        <w:tabs>
          <w:tab w:val="center" w:pos="4680"/>
          <w:tab w:val="left" w:pos="8640"/>
        </w:tabs>
        <w:rPr>
          <w:rFonts w:eastAsiaTheme="minorEastAsia"/>
        </w:rPr>
      </w:pPr>
      <w:r>
        <w:rPr>
          <w:rFonts w:eastAsiaTheme="minorEastAsia"/>
        </w:rPr>
        <w:tab/>
      </w:r>
      <m:oMath>
        <m:r>
          <w:rPr>
            <w:rFonts w:ascii="Cambria Math" w:hAnsi="Cambria Math"/>
          </w:rPr>
          <m:t>a</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r>
          <w:rPr>
            <w:rFonts w:ascii="Cambria Math" w:hAnsi="Cambria Math"/>
          </w:rPr>
          <m:t>+b</m:t>
        </m:r>
        <m:r>
          <m:rPr>
            <m:sty m:val="p"/>
          </m:rPr>
          <w:rPr>
            <w:rFonts w:ascii="Cambria Math" w:hAnsi="Cambria Math"/>
          </w:rPr>
          <m:t>C</m:t>
        </m:r>
        <m:r>
          <w:rPr>
            <w:rFonts w:ascii="Cambria Math" w:hAnsi="Cambria Math"/>
          </w:rPr>
          <m:t>+d</m:t>
        </m:r>
        <m:d>
          <m:dPr>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+3.76</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e</m:t>
        </m:r>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+f</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r>
          <w:rPr>
            <w:rFonts w:ascii="Cambria Math" w:hAnsi="Cambria Math"/>
          </w:rPr>
          <m:t>+g</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oMath>
      <w:r>
        <w:rPr>
          <w:rFonts w:eastAsiaTheme="minorEastAsia"/>
        </w:rPr>
        <w:tab/>
        <w:t>(1)</w:t>
      </w:r>
    </w:p>
    <w:p w:rsidR="00584DFE" w:rsidRPr="00584DFE" w:rsidRDefault="00932DF8" w:rsidP="00932DF8">
      <w:pPr>
        <w:tabs>
          <w:tab w:val="center" w:pos="4680"/>
          <w:tab w:val="left" w:pos="8640"/>
        </w:tabs>
        <w:rPr>
          <w:rFonts w:eastAsiaTheme="minorEastAsia"/>
        </w:rPr>
      </w:pPr>
      <w:r>
        <w:rPr>
          <w:rFonts w:eastAsiaTheme="minorEastAsia"/>
        </w:rPr>
        <w:tab/>
      </w:r>
      <m:oMath>
        <m:r>
          <w:rPr>
            <w:rFonts w:ascii="Cambria Math" w:hAnsi="Cambria Math"/>
          </w:rPr>
          <m:t>a=b=0.5</m:t>
        </m:r>
      </m:oMath>
      <w:r>
        <w:rPr>
          <w:rFonts w:eastAsiaTheme="minorEastAsia"/>
        </w:rPr>
        <w:tab/>
        <w:t>(2)</w:t>
      </w:r>
    </w:p>
    <w:p w:rsidR="00584DFE" w:rsidRPr="00584DFE"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e=1</m:t>
        </m:r>
      </m:oMath>
      <w:r>
        <w:rPr>
          <w:rFonts w:eastAsiaTheme="minorEastAsia"/>
        </w:rPr>
        <w:tab/>
        <w:t>(3)</w:t>
      </w:r>
    </w:p>
    <w:p w:rsidR="00584DFE" w:rsidRPr="00584DFE"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f=1</m:t>
        </m:r>
      </m:oMath>
      <w:r>
        <w:rPr>
          <w:rFonts w:eastAsiaTheme="minorEastAsia"/>
        </w:rPr>
        <w:tab/>
        <w:t>(4)</w:t>
      </w:r>
    </w:p>
    <w:p w:rsidR="00584DFE" w:rsidRPr="00584DFE"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d=1.5</m:t>
        </m:r>
      </m:oMath>
      <w:r>
        <w:rPr>
          <w:rFonts w:eastAsiaTheme="minorEastAsia"/>
        </w:rPr>
        <w:tab/>
        <w:t>(5)</w:t>
      </w:r>
    </w:p>
    <w:p w:rsidR="00584DFE"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g=5.64</m:t>
        </m:r>
      </m:oMath>
      <w:r>
        <w:rPr>
          <w:rFonts w:eastAsiaTheme="minorEastAsia"/>
        </w:rPr>
        <w:tab/>
        <w:t>(6)</w:t>
      </w:r>
    </w:p>
    <w:p w:rsidR="008A04E6" w:rsidRPr="00EF025D" w:rsidRDefault="008A04E6" w:rsidP="00932DF8">
      <w:pPr>
        <w:tabs>
          <w:tab w:val="center" w:pos="4680"/>
          <w:tab w:val="left" w:pos="8640"/>
        </w:tabs>
        <w:rPr>
          <w:rFonts w:eastAsiaTheme="minorEastAsia"/>
        </w:rPr>
      </w:pPr>
      <w:r>
        <w:rPr>
          <w:rFonts w:eastAsiaTheme="minorEastAsia"/>
        </w:rPr>
        <w:t xml:space="preserve">It is necessary to note that for this equation to be usable, it is on a mole basis of one mole of fuel. This is why </w:t>
      </w:r>
      <w:proofErr w:type="gramStart"/>
      <w:r>
        <w:rPr>
          <w:rFonts w:eastAsiaTheme="minorEastAsia"/>
        </w:rPr>
        <w:t>a and</w:t>
      </w:r>
      <w:proofErr w:type="gramEnd"/>
      <w:r>
        <w:rPr>
          <w:rFonts w:eastAsiaTheme="minorEastAsia"/>
        </w:rPr>
        <w:t xml:space="preserve"> b are equal to 0.5, so that they will combine to make one </w:t>
      </w:r>
      <w:proofErr w:type="spellStart"/>
      <w:r>
        <w:rPr>
          <w:rFonts w:eastAsiaTheme="minorEastAsia"/>
        </w:rPr>
        <w:t>kmol</w:t>
      </w:r>
      <w:proofErr w:type="spellEnd"/>
      <w:r>
        <w:rPr>
          <w:rFonts w:eastAsiaTheme="minorEastAsia"/>
        </w:rPr>
        <w:t xml:space="preserve"> of fuel. </w:t>
      </w:r>
    </w:p>
    <w:p w:rsidR="00EF025D" w:rsidRDefault="00EF025D" w:rsidP="00932DF8">
      <w:pPr>
        <w:tabs>
          <w:tab w:val="left" w:pos="4680"/>
          <w:tab w:val="left" w:pos="8640"/>
        </w:tabs>
        <w:rPr>
          <w:rFonts w:eastAsiaTheme="minorEastAsia"/>
        </w:rPr>
      </w:pPr>
      <w:r>
        <w:rPr>
          <w:rFonts w:eastAsiaTheme="minorEastAsia"/>
        </w:rPr>
        <w:t>The above implies that the theoretical reaction is:</w:t>
      </w:r>
    </w:p>
    <w:p w:rsidR="00EF025D" w:rsidRPr="00EF025D" w:rsidRDefault="00932DF8" w:rsidP="00932DF8">
      <w:pPr>
        <w:tabs>
          <w:tab w:val="center" w:pos="4680"/>
          <w:tab w:val="left" w:pos="8640"/>
        </w:tabs>
        <w:rPr>
          <w:rFonts w:eastAsiaTheme="minorEastAsia"/>
        </w:rPr>
      </w:pPr>
      <w:r>
        <w:rPr>
          <w:rFonts w:eastAsiaTheme="minorEastAsia"/>
        </w:rPr>
        <w:tab/>
      </w:r>
      <m:oMath>
        <m:r>
          <w:rPr>
            <w:rFonts w:ascii="Cambria Math" w:hAnsi="Cambria Math"/>
          </w:rPr>
          <m:t>0.5</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r>
          <w:rPr>
            <w:rFonts w:ascii="Cambria Math" w:hAnsi="Cambria Math"/>
          </w:rPr>
          <m:t>+0.5</m:t>
        </m:r>
        <m:r>
          <m:rPr>
            <m:sty m:val="p"/>
          </m:rPr>
          <w:rPr>
            <w:rFonts w:ascii="Cambria Math" w:hAnsi="Cambria Math"/>
          </w:rPr>
          <m:t>C</m:t>
        </m:r>
        <m:r>
          <w:rPr>
            <w:rFonts w:ascii="Cambria Math" w:hAnsi="Cambria Math"/>
          </w:rPr>
          <m:t>+1.5</m:t>
        </m:r>
        <m:d>
          <m:dPr>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+3.76</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pos m:val="top"/>
                <m:ctrlPr>
                  <w:rPr>
                    <w:rFonts w:ascii="Cambria Math" w:hAnsi="Cambria Math"/>
                    <w:i/>
                  </w:rPr>
                </m:ctrlPr>
              </m:groupChrPr>
              <m:e/>
            </m:groupChr>
          </m:e>
        </m:box>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r>
          <w:rPr>
            <w:rFonts w:ascii="Cambria Math" w:hAnsi="Cambria Math"/>
          </w:rPr>
          <m:t>+5.64</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oMath>
      <w:r>
        <w:rPr>
          <w:rFonts w:eastAsiaTheme="minorEastAsia"/>
        </w:rPr>
        <w:tab/>
        <w:t>(7)</w:t>
      </w:r>
    </w:p>
    <w:p w:rsidR="00EF025D" w:rsidRDefault="00EF025D" w:rsidP="00932DF8">
      <w:pPr>
        <w:tabs>
          <w:tab w:val="left" w:pos="4680"/>
          <w:tab w:val="left" w:pos="8640"/>
        </w:tabs>
        <w:rPr>
          <w:rFonts w:eastAsiaTheme="minorEastAsia"/>
        </w:rPr>
      </w:pPr>
      <w:r>
        <w:rPr>
          <w:rFonts w:eastAsiaTheme="minorEastAsia"/>
        </w:rPr>
        <w:t>The distinction has to be made that there is a difference between a phi less than on and a phi greater than one. For a phi less than one, there is excess oxygen produced:</w:t>
      </w:r>
    </w:p>
    <w:p w:rsidR="00EF025D" w:rsidRPr="00EF025D" w:rsidRDefault="00932DF8" w:rsidP="00932DF8">
      <w:pPr>
        <w:tabs>
          <w:tab w:val="center" w:pos="4680"/>
          <w:tab w:val="left" w:pos="8640"/>
        </w:tabs>
        <w:rPr>
          <w:rFonts w:eastAsiaTheme="minorEastAsia"/>
        </w:rPr>
      </w:pPr>
      <w:r>
        <w:rPr>
          <w:rFonts w:eastAsiaTheme="minorEastAsia"/>
        </w:rPr>
        <w:tab/>
      </w:r>
      <m:oMath>
        <m:r>
          <w:rPr>
            <w:rFonts w:ascii="Cambria Math" w:hAnsi="Cambria Math"/>
          </w:rPr>
          <m:t>0.5</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r>
          <w:rPr>
            <w:rFonts w:ascii="Cambria Math" w:hAnsi="Cambria Math"/>
          </w:rPr>
          <m:t>+0.5</m:t>
        </m:r>
        <m:r>
          <m:rPr>
            <m:sty m:val="p"/>
          </m:rPr>
          <w:rPr>
            <w:rFonts w:ascii="Cambria Math" w:hAnsi="Cambria Math"/>
          </w:rPr>
          <m:t>C</m:t>
        </m:r>
        <m:r>
          <w:rPr>
            <w:rFonts w:ascii="Cambria Math" w:hAnsi="Cambria Math"/>
          </w:rPr>
          <m:t>+α1.5</m:t>
        </m:r>
        <m:d>
          <m:dPr>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+3.76</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pos m:val="top"/>
                <m:ctrlPr>
                  <w:rPr>
                    <w:rFonts w:ascii="Cambria Math" w:hAnsi="Cambria Math"/>
                    <w:i/>
                  </w:rPr>
                </m:ctrlPr>
              </m:groupChrPr>
              <m:e/>
            </m:groupChr>
          </m:e>
        </m:box>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r>
          <w:rPr>
            <w:rFonts w:ascii="Cambria Math" w:hAnsi="Cambria Math"/>
          </w:rPr>
          <m:t>+α5.64</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r>
          <w:rPr>
            <w:rFonts w:ascii="Cambria Math" w:hAnsi="Cambria Math"/>
          </w:rPr>
          <m:t>+z</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oMath>
      <w:r>
        <w:rPr>
          <w:rFonts w:eastAsiaTheme="minorEastAsia"/>
        </w:rPr>
        <w:tab/>
        <w:t>(8)</w:t>
      </w:r>
    </w:p>
    <w:p w:rsidR="00EF025D" w:rsidRDefault="00EF025D" w:rsidP="00932DF8">
      <w:pPr>
        <w:tabs>
          <w:tab w:val="left" w:pos="4680"/>
          <w:tab w:val="left" w:pos="8640"/>
        </w:tabs>
        <w:rPr>
          <w:rFonts w:eastAsiaTheme="minorEastAsia"/>
        </w:rPr>
      </w:pPr>
      <w:proofErr w:type="gramStart"/>
      <w:r>
        <w:rPr>
          <w:rFonts w:eastAsiaTheme="minorEastAsia"/>
        </w:rPr>
        <w:t>where</w:t>
      </w:r>
      <w:proofErr w:type="gramEnd"/>
      <w:r>
        <w:rPr>
          <w:rFonts w:eastAsiaTheme="minorEastAsia"/>
        </w:rPr>
        <w:t xml:space="preserve"> α is the theoretical air percentage. </w:t>
      </w:r>
      <w:proofErr w:type="gramStart"/>
      <w:r>
        <w:rPr>
          <w:rFonts w:eastAsiaTheme="minorEastAsia"/>
        </w:rPr>
        <w:t>z</w:t>
      </w:r>
      <w:proofErr w:type="gramEnd"/>
      <w:r>
        <w:rPr>
          <w:rFonts w:eastAsiaTheme="minorEastAsia"/>
        </w:rPr>
        <w:t xml:space="preserve"> can be determined from another chemical balance:</w:t>
      </w:r>
    </w:p>
    <w:p w:rsidR="00EF025D" w:rsidRPr="006D2818"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2*α*1.5=3+2z</m:t>
        </m:r>
      </m:oMath>
      <w:r>
        <w:rPr>
          <w:rFonts w:eastAsiaTheme="minorEastAsia"/>
        </w:rPr>
        <w:tab/>
        <w:t>(9)</w:t>
      </w:r>
    </w:p>
    <w:p w:rsidR="006D2818" w:rsidRPr="006D2818"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z=1.5α-1.5</m:t>
        </m:r>
      </m:oMath>
      <w:r>
        <w:rPr>
          <w:rFonts w:eastAsiaTheme="minorEastAsia"/>
        </w:rPr>
        <w:tab/>
        <w:t>(10)</w:t>
      </w:r>
    </w:p>
    <w:p w:rsidR="006D2818" w:rsidRDefault="005734BF" w:rsidP="00932DF8">
      <w:pPr>
        <w:tabs>
          <w:tab w:val="left" w:pos="4680"/>
          <w:tab w:val="left" w:pos="8640"/>
        </w:tabs>
        <w:rPr>
          <w:rFonts w:eastAsiaTheme="minorEastAsia"/>
        </w:rPr>
      </w:pPr>
      <w:r>
        <w:rPr>
          <w:rFonts w:eastAsiaTheme="minorEastAsia"/>
        </w:rPr>
        <w:t>For</w:t>
      </w:r>
      <w:r w:rsidR="006D2818">
        <w:rPr>
          <w:rFonts w:eastAsiaTheme="minorEastAsia"/>
        </w:rPr>
        <w:t xml:space="preserve"> a phi less than one we get the following chemical balance:</w:t>
      </w:r>
    </w:p>
    <w:p w:rsidR="006D2818" w:rsidRPr="006D2818" w:rsidRDefault="00932DF8" w:rsidP="00932DF8">
      <w:pPr>
        <w:tabs>
          <w:tab w:val="center" w:pos="4680"/>
          <w:tab w:val="left" w:pos="8640"/>
        </w:tabs>
        <w:rPr>
          <w:rFonts w:eastAsiaTheme="minorEastAsia"/>
        </w:rPr>
      </w:pPr>
      <w:r>
        <w:rPr>
          <w:rFonts w:eastAsiaTheme="minorEastAsia"/>
        </w:rPr>
        <w:tab/>
      </w:r>
      <m:oMath>
        <m:r>
          <w:rPr>
            <w:rFonts w:ascii="Cambria Math" w:hAnsi="Cambria Math"/>
          </w:rPr>
          <m:t>0.5</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r>
          <w:rPr>
            <w:rFonts w:ascii="Cambria Math" w:hAnsi="Cambria Math"/>
          </w:rPr>
          <m:t>+0.5</m:t>
        </m:r>
        <m:r>
          <m:rPr>
            <m:sty m:val="p"/>
          </m:rPr>
          <w:rPr>
            <w:rFonts w:ascii="Cambria Math" w:hAnsi="Cambria Math"/>
          </w:rPr>
          <m:t>C</m:t>
        </m:r>
        <m:r>
          <w:rPr>
            <w:rFonts w:ascii="Cambria Math" w:hAnsi="Cambria Math"/>
          </w:rPr>
          <m:t>+α1.5</m:t>
        </m:r>
        <m:d>
          <m:dPr>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+3.76</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pos m:val="top"/>
                <m:ctrlPr>
                  <w:rPr>
                    <w:rFonts w:ascii="Cambria Math" w:hAnsi="Cambria Math"/>
                    <w:i/>
                  </w:rPr>
                </m:ctrlPr>
              </m:groupChrPr>
              <m:e/>
            </m:groupChr>
          </m:e>
        </m:box>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r>
          <w:rPr>
            <w:rFonts w:ascii="Cambria Math" w:hAnsi="Cambria Math"/>
          </w:rPr>
          <m:t>+α5.64</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r>
          <w:rPr>
            <w:rFonts w:ascii="Cambria Math" w:hAnsi="Cambria Math"/>
          </w:rPr>
          <m:t>+(</m:t>
        </m:r>
        <m:r>
          <w:rPr>
            <w:rFonts w:ascii="Cambria Math" w:eastAsiaTheme="minorEastAsia" w:hAnsi="Cambria Math"/>
          </w:rPr>
          <m:t>1.5α-1.5)</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oMath>
      <w:r>
        <w:rPr>
          <w:rFonts w:eastAsiaTheme="minorEastAsia"/>
        </w:rPr>
        <w:t xml:space="preserve">   (11)</w:t>
      </w:r>
    </w:p>
    <w:p w:rsidR="006D2818" w:rsidRDefault="006D2818" w:rsidP="00932DF8">
      <w:pPr>
        <w:tabs>
          <w:tab w:val="left" w:pos="4680"/>
          <w:tab w:val="left" w:pos="8640"/>
        </w:tabs>
        <w:rPr>
          <w:rFonts w:eastAsiaTheme="minorEastAsia"/>
        </w:rPr>
      </w:pPr>
      <w:r>
        <w:rPr>
          <w:rFonts w:eastAsiaTheme="minorEastAsia"/>
        </w:rPr>
        <w:lastRenderedPageBreak/>
        <w:t xml:space="preserve">It is worth noting that α is the inverse of phi. </w:t>
      </w:r>
    </w:p>
    <w:p w:rsidR="006D2818" w:rsidRDefault="006D2818" w:rsidP="00932DF8">
      <w:pPr>
        <w:tabs>
          <w:tab w:val="left" w:pos="4680"/>
          <w:tab w:val="left" w:pos="8640"/>
        </w:tabs>
        <w:rPr>
          <w:rFonts w:eastAsiaTheme="minorEastAsia"/>
        </w:rPr>
      </w:pPr>
      <w:r>
        <w:rPr>
          <w:rFonts w:eastAsiaTheme="minorEastAsia"/>
        </w:rPr>
        <w:t xml:space="preserve">For </w:t>
      </w:r>
      <w:r w:rsidR="005734BF">
        <w:rPr>
          <w:rFonts w:eastAsiaTheme="minorEastAsia"/>
        </w:rPr>
        <w:t>combustion</w:t>
      </w:r>
      <w:r>
        <w:rPr>
          <w:rFonts w:eastAsiaTheme="minorEastAsia"/>
        </w:rPr>
        <w:t xml:space="preserve"> with phi greater than one, we have incomplete combustion. This can be modeled several </w:t>
      </w:r>
      <w:r w:rsidR="005734BF">
        <w:rPr>
          <w:rFonts w:eastAsiaTheme="minorEastAsia"/>
        </w:rPr>
        <w:t>ways</w:t>
      </w:r>
      <w:r>
        <w:rPr>
          <w:rFonts w:eastAsiaTheme="minorEastAsia"/>
        </w:rPr>
        <w:t>, but for the purpose of this study, it will be modeled as producing carbon monoxide in addition to carbon dioxide. This can be seen below:</w:t>
      </w:r>
    </w:p>
    <w:p w:rsidR="006D2818" w:rsidRPr="006D2818" w:rsidRDefault="00932DF8" w:rsidP="00932DF8">
      <w:pPr>
        <w:tabs>
          <w:tab w:val="center" w:pos="4680"/>
          <w:tab w:val="left" w:pos="8640"/>
        </w:tabs>
        <w:rPr>
          <w:rFonts w:eastAsiaTheme="minorEastAsia"/>
        </w:rPr>
      </w:pPr>
      <w:r>
        <w:rPr>
          <w:rFonts w:eastAsiaTheme="minorEastAsia"/>
        </w:rPr>
        <w:tab/>
      </w:r>
      <m:oMath>
        <m:r>
          <w:rPr>
            <w:rFonts w:ascii="Cambria Math" w:hAnsi="Cambria Math"/>
          </w:rPr>
          <m:t>0.5</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r>
          <w:rPr>
            <w:rFonts w:ascii="Cambria Math" w:hAnsi="Cambria Math"/>
          </w:rPr>
          <m:t>+0.5</m:t>
        </m:r>
        <m:r>
          <m:rPr>
            <m:sty m:val="p"/>
          </m:rPr>
          <w:rPr>
            <w:rFonts w:ascii="Cambria Math" w:hAnsi="Cambria Math"/>
          </w:rPr>
          <m:t>C</m:t>
        </m:r>
        <m:r>
          <w:rPr>
            <w:rFonts w:ascii="Cambria Math" w:hAnsi="Cambria Math"/>
          </w:rPr>
          <m:t>+α1.5</m:t>
        </m:r>
        <m:d>
          <m:dPr>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+3.76</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pos m:val="top"/>
                <m:ctrlPr>
                  <w:rPr>
                    <w:rFonts w:ascii="Cambria Math" w:hAnsi="Cambria Math"/>
                    <w:i/>
                  </w:rPr>
                </m:ctrlPr>
              </m:groupChrPr>
              <m:e/>
            </m:groupChr>
          </m:e>
        </m:box>
        <m:r>
          <m:rPr>
            <m:sty m:val="p"/>
          </m:rPr>
          <w:rPr>
            <w:rFonts w:ascii="Cambria Math" w:hAnsi="Cambria Math"/>
          </w:rPr>
          <m:t>aC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+b</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r>
          <w:rPr>
            <w:rFonts w:ascii="Cambria Math" w:hAnsi="Cambria Math"/>
          </w:rPr>
          <m:t>+α5.64</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r>
          <w:rPr>
            <w:rFonts w:ascii="Cambria Math" w:hAnsi="Cambria Math"/>
          </w:rPr>
          <m:t>+c</m:t>
        </m:r>
        <m:r>
          <m:rPr>
            <m:sty m:val="p"/>
          </m:rPr>
          <w:rPr>
            <w:rFonts w:ascii="Cambria Math" w:hAnsi="Cambria Math"/>
          </w:rPr>
          <m:t>CO</m:t>
        </m:r>
      </m:oMath>
      <w:r>
        <w:rPr>
          <w:rFonts w:eastAsiaTheme="minorEastAsia"/>
        </w:rPr>
        <w:tab/>
        <w:t>(12)</w:t>
      </w:r>
    </w:p>
    <w:p w:rsidR="006D2818" w:rsidRDefault="006D2818" w:rsidP="00932DF8">
      <w:pPr>
        <w:tabs>
          <w:tab w:val="left" w:pos="4680"/>
          <w:tab w:val="left" w:pos="8640"/>
        </w:tabs>
        <w:rPr>
          <w:rFonts w:eastAsiaTheme="minorEastAsia"/>
        </w:rPr>
      </w:pPr>
      <w:r>
        <w:rPr>
          <w:rFonts w:eastAsiaTheme="minorEastAsia"/>
        </w:rPr>
        <w:t xml:space="preserve">Once again, doing a chemical balance, </w:t>
      </w:r>
      <w:r w:rsidRPr="006D2818">
        <w:rPr>
          <w:rFonts w:eastAsiaTheme="minorEastAsia"/>
          <w:i/>
        </w:rPr>
        <w:t>a</w:t>
      </w:r>
      <w:r w:rsidRPr="006D2818">
        <w:rPr>
          <w:rFonts w:eastAsiaTheme="minorEastAsia"/>
        </w:rPr>
        <w:t xml:space="preserve">, </w:t>
      </w:r>
      <w:r w:rsidRPr="006D2818">
        <w:rPr>
          <w:rFonts w:eastAsiaTheme="minorEastAsia"/>
          <w:i/>
        </w:rPr>
        <w:t>b</w:t>
      </w:r>
      <w:r w:rsidRPr="006D2818">
        <w:rPr>
          <w:rFonts w:eastAsiaTheme="minorEastAsia"/>
        </w:rPr>
        <w:t>,</w:t>
      </w:r>
      <w:r>
        <w:rPr>
          <w:rFonts w:eastAsiaTheme="minorEastAsia"/>
        </w:rPr>
        <w:t xml:space="preserve"> and </w:t>
      </w:r>
      <w:r w:rsidRPr="006D2818">
        <w:rPr>
          <w:rFonts w:eastAsiaTheme="minorEastAsia"/>
          <w:i/>
        </w:rPr>
        <w:t>c</w:t>
      </w:r>
      <w:r>
        <w:rPr>
          <w:rFonts w:eastAsiaTheme="minorEastAsia"/>
        </w:rPr>
        <w:t xml:space="preserve"> can be determined:</w:t>
      </w:r>
    </w:p>
    <w:p w:rsidR="006D2818" w:rsidRPr="006D2818"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b=1</m:t>
        </m:r>
      </m:oMath>
      <w:r>
        <w:rPr>
          <w:rFonts w:eastAsiaTheme="minorEastAsia"/>
        </w:rPr>
        <w:tab/>
        <w:t>(13)</w:t>
      </w:r>
    </w:p>
    <w:p w:rsidR="006D2818" w:rsidRPr="006D2818"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a=3α-2</m:t>
        </m:r>
      </m:oMath>
      <w:r>
        <w:rPr>
          <w:rFonts w:eastAsiaTheme="minorEastAsia"/>
        </w:rPr>
        <w:tab/>
        <w:t>(14)</w:t>
      </w:r>
    </w:p>
    <w:p w:rsidR="006D2818" w:rsidRPr="006D2818"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c=3-3α</m:t>
        </m:r>
      </m:oMath>
      <w:r>
        <w:rPr>
          <w:rFonts w:eastAsiaTheme="minorEastAsia"/>
        </w:rPr>
        <w:tab/>
        <w:t>(15)</w:t>
      </w:r>
    </w:p>
    <w:p w:rsidR="000F7855" w:rsidRDefault="006D2818" w:rsidP="00932DF8">
      <w:pPr>
        <w:tabs>
          <w:tab w:val="left" w:pos="4680"/>
          <w:tab w:val="left" w:pos="8640"/>
        </w:tabs>
        <w:rPr>
          <w:rFonts w:eastAsiaTheme="minorEastAsia"/>
        </w:rPr>
      </w:pPr>
      <w:r>
        <w:rPr>
          <w:rFonts w:eastAsiaTheme="minorEastAsia"/>
        </w:rPr>
        <w:t xml:space="preserve">Now that we have a case for both a phi less than one, and greater than one, it is possible to determine the adiabatic flame temperature. </w:t>
      </w:r>
      <w:r w:rsidR="005550CB">
        <w:rPr>
          <w:rFonts w:eastAsiaTheme="minorEastAsia"/>
        </w:rPr>
        <w:t>This is the temperature of the exit when there is no heat transfer to the surroundings. This necessitates that:</w:t>
      </w:r>
    </w:p>
    <w:p w:rsidR="005550CB" w:rsidRPr="005550CB" w:rsidRDefault="00932DF8" w:rsidP="00932DF8">
      <w:pPr>
        <w:tabs>
          <w:tab w:val="center" w:pos="4680"/>
          <w:tab w:val="left" w:pos="8640"/>
        </w:tabs>
        <w:rPr>
          <w:rFonts w:eastAsiaTheme="minorEastAsia"/>
        </w:rPr>
      </w:pPr>
      <w:r>
        <w:rPr>
          <w:rFonts w:eastAsiaTheme="minorEastAsia"/>
        </w:rPr>
        <w:tab/>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p</m:t>
                </m:r>
              </m:sub>
            </m:sSub>
          </m:e>
        </m:nary>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R</m:t>
                </m:r>
              </m:sub>
            </m:sSub>
          </m:e>
        </m:nary>
      </m:oMath>
      <w:r>
        <w:rPr>
          <w:rFonts w:eastAsiaTheme="minorEastAsia"/>
        </w:rPr>
        <w:tab/>
        <w:t>(16)</w:t>
      </w:r>
    </w:p>
    <w:p w:rsidR="005550CB" w:rsidRDefault="005550CB" w:rsidP="00932DF8">
      <w:pPr>
        <w:tabs>
          <w:tab w:val="left" w:pos="4680"/>
          <w:tab w:val="left" w:pos="8640"/>
        </w:tabs>
        <w:rPr>
          <w:rFonts w:eastAsiaTheme="minorEastAsia"/>
        </w:rPr>
      </w:pPr>
      <w:r>
        <w:rPr>
          <w:rFonts w:eastAsiaTheme="minorEastAsia"/>
        </w:rPr>
        <w:t>For the PG model, this simplifies to:</w:t>
      </w:r>
    </w:p>
    <w:p w:rsidR="005550CB" w:rsidRPr="005550CB" w:rsidRDefault="00932DF8" w:rsidP="00932DF8">
      <w:pPr>
        <w:tabs>
          <w:tab w:val="center" w:pos="4680"/>
          <w:tab w:val="left" w:pos="8640"/>
        </w:tabs>
        <w:rPr>
          <w:rFonts w:eastAsiaTheme="minorEastAsia"/>
        </w:rPr>
      </w:pP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[1+AF]</m:t>
            </m:r>
          </m:den>
        </m:f>
      </m:oMath>
      <w:r>
        <w:rPr>
          <w:rFonts w:eastAsiaTheme="minorEastAsia"/>
        </w:rPr>
        <w:tab/>
        <w:t>(17)</w:t>
      </w:r>
    </w:p>
    <w:p w:rsidR="006D2818" w:rsidRDefault="005550CB" w:rsidP="00932DF8">
      <w:pPr>
        <w:tabs>
          <w:tab w:val="left" w:pos="4680"/>
          <w:tab w:val="left" w:pos="8640"/>
        </w:tabs>
        <w:rPr>
          <w:rFonts w:eastAsiaTheme="minorEastAsia"/>
        </w:rPr>
      </w:pPr>
      <w:r>
        <w:rPr>
          <w:rFonts w:eastAsiaTheme="minorEastAsia"/>
        </w:rPr>
        <w:t xml:space="preserve">This can be said because the </w:t>
      </w:r>
      <w:proofErr w:type="spellStart"/>
      <w:r>
        <w:rPr>
          <w:rFonts w:eastAsiaTheme="minorEastAsia"/>
        </w:rPr>
        <w:t>c</w:t>
      </w:r>
      <w:r>
        <w:rPr>
          <w:rFonts w:eastAsiaTheme="minorEastAsia"/>
          <w:vertAlign w:val="subscript"/>
        </w:rPr>
        <w:t>p</w:t>
      </w:r>
      <w:proofErr w:type="spellEnd"/>
      <w:r>
        <w:rPr>
          <w:rFonts w:eastAsiaTheme="minorEastAsia"/>
        </w:rPr>
        <w:t xml:space="preserve"> value is constant for PG gases. The numerator can be expressed as follows:</w:t>
      </w:r>
    </w:p>
    <w:p w:rsidR="005550CB" w:rsidRPr="005550CB"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r>
          <w:rPr>
            <w:rFonts w:ascii="Cambria Math" w:eastAsiaTheme="minorEastAsia" w:hAnsi="Cambria Math"/>
          </w:rPr>
          <m:t>=</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p</m:t>
                    </m:r>
                  </m:sub>
                </m:sSub>
                <m:r>
                  <w:rPr>
                    <w:rFonts w:ascii="Cambria Math" w:eastAsiaTheme="minorEastAsia" w:hAnsi="Cambria Math"/>
                  </w:rPr>
                  <m:t>*</m:t>
                </m:r>
                <m:acc>
                  <m:accPr>
                    <m:chr m:val="̅"/>
                    <m:ctrlPr>
                      <w:rPr>
                        <w:rFonts w:ascii="Cambria Math" w:eastAsiaTheme="minorEastAsia" w:hAnsi="Cambria Math"/>
                        <w:i/>
                      </w:rPr>
                    </m:ctrlPr>
                  </m:accPr>
                  <m:e>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p</m:t>
                        </m:r>
                      </m:sub>
                      <m:sup>
                        <m:r>
                          <w:rPr>
                            <w:rFonts w:ascii="Cambria Math" w:eastAsiaTheme="minorEastAsia" w:hAnsi="Cambria Math"/>
                          </w:rPr>
                          <m:t>o</m:t>
                        </m:r>
                      </m:sup>
                    </m:sSubSup>
                  </m:e>
                </m:acc>
              </m:e>
            </m:nary>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r</m:t>
                    </m:r>
                  </m:sub>
                </m:sSub>
                <m:r>
                  <w:rPr>
                    <w:rFonts w:ascii="Cambria Math" w:eastAsiaTheme="minorEastAsia" w:hAnsi="Cambria Math"/>
                  </w:rPr>
                  <m:t>*</m:t>
                </m:r>
                <m:acc>
                  <m:accPr>
                    <m:chr m:val="̅"/>
                    <m:ctrlPr>
                      <w:rPr>
                        <w:rFonts w:ascii="Cambria Math" w:eastAsiaTheme="minorEastAsia" w:hAnsi="Cambria Math"/>
                        <w:i/>
                      </w:rPr>
                    </m:ctrlPr>
                  </m:accPr>
                  <m:e>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R</m:t>
                        </m:r>
                      </m:sub>
                      <m:sup>
                        <m:r>
                          <w:rPr>
                            <w:rFonts w:ascii="Cambria Math" w:eastAsiaTheme="minorEastAsia" w:hAnsi="Cambria Math"/>
                          </w:rPr>
                          <m:t>o</m:t>
                        </m:r>
                      </m:sup>
                    </m:sSubSup>
                  </m:e>
                </m:acc>
              </m:e>
            </m:nary>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C+C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4</m:t>
                    </m:r>
                  </m:sub>
                </m:sSub>
              </m:sub>
            </m:sSub>
          </m:den>
        </m:f>
      </m:oMath>
      <w:r>
        <w:rPr>
          <w:rFonts w:eastAsiaTheme="minorEastAsia"/>
        </w:rPr>
        <w:tab/>
        <w:t>(18)</w:t>
      </w:r>
    </w:p>
    <w:p w:rsidR="005550CB" w:rsidRDefault="0000619D" w:rsidP="00932DF8">
      <w:pPr>
        <w:tabs>
          <w:tab w:val="left" w:pos="4680"/>
          <w:tab w:val="left" w:pos="8640"/>
        </w:tabs>
        <w:rPr>
          <w:rFonts w:eastAsiaTheme="minorEastAsia"/>
        </w:rPr>
      </w:pPr>
      <w:r>
        <w:rPr>
          <w:rFonts w:eastAsiaTheme="minorEastAsia"/>
        </w:rPr>
        <w:t xml:space="preserve">With a phi less than one, this is constant as there is no </w:t>
      </w:r>
      <w:r w:rsidR="005734BF">
        <w:rPr>
          <w:rFonts w:eastAsiaTheme="minorEastAsia"/>
        </w:rPr>
        <w:t>enthalpy</w:t>
      </w:r>
      <w:r>
        <w:rPr>
          <w:rFonts w:eastAsiaTheme="minorEastAsia"/>
        </w:rPr>
        <w:t xml:space="preserve"> of formation changing in the products or reactants:</w:t>
      </w:r>
    </w:p>
    <w:p w:rsidR="0000619D" w:rsidRPr="005550CB"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r>
          <w:rPr>
            <w:rFonts w:ascii="Cambria Math" w:eastAsiaTheme="minorEastAsia" w:hAnsi="Cambria Math"/>
          </w:rPr>
          <m:t>=-42708.2</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kg</m:t>
            </m:r>
          </m:den>
        </m:f>
      </m:oMath>
      <w:r>
        <w:rPr>
          <w:rFonts w:eastAsiaTheme="minorEastAsia"/>
        </w:rPr>
        <w:tab/>
        <w:t>(19)</w:t>
      </w:r>
    </w:p>
    <w:p w:rsidR="0000619D" w:rsidRDefault="0000619D" w:rsidP="00932DF8">
      <w:pPr>
        <w:tabs>
          <w:tab w:val="left" w:pos="4680"/>
          <w:tab w:val="left" w:pos="8640"/>
        </w:tabs>
        <w:rPr>
          <w:rFonts w:eastAsiaTheme="minorEastAsia"/>
        </w:rPr>
      </w:pPr>
      <w:r>
        <w:rPr>
          <w:rFonts w:eastAsiaTheme="minorEastAsia"/>
        </w:rPr>
        <w:t xml:space="preserve">With a phi greater than one, this is not the case, and </w:t>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oMath>
      <w:r>
        <w:rPr>
          <w:rFonts w:eastAsiaTheme="minorEastAsia"/>
        </w:rPr>
        <w:t xml:space="preserve"> must be calculated at each phi. </w:t>
      </w:r>
    </w:p>
    <w:p w:rsidR="0000619D" w:rsidRDefault="0000619D" w:rsidP="00932DF8">
      <w:pPr>
        <w:tabs>
          <w:tab w:val="left" w:pos="4680"/>
          <w:tab w:val="left" w:pos="8640"/>
        </w:tabs>
        <w:rPr>
          <w:rFonts w:eastAsiaTheme="minorEastAsia"/>
        </w:rPr>
      </w:pPr>
      <w:r>
        <w:rPr>
          <w:rFonts w:eastAsiaTheme="minorEastAsia"/>
        </w:rPr>
        <w:t xml:space="preserve">a.) Plot the adiabatic flame temperature for the fuel reacting with Air and pure oxygen over a range of </w:t>
      </w:r>
      <w:proofErr w:type="gramStart"/>
      <w:r>
        <w:rPr>
          <w:rFonts w:eastAsiaTheme="minorEastAsia"/>
        </w:rPr>
        <w:t>phi’s</w:t>
      </w:r>
      <w:proofErr w:type="gramEnd"/>
    </w:p>
    <w:p w:rsidR="00CC6EA1" w:rsidRDefault="0080054D" w:rsidP="00932DF8">
      <w:pPr>
        <w:tabs>
          <w:tab w:val="left" w:pos="4680"/>
          <w:tab w:val="left" w:pos="8640"/>
        </w:tabs>
        <w:rPr>
          <w:rFonts w:eastAsiaTheme="minorEastAsia"/>
        </w:rPr>
      </w:pPr>
      <w:r>
        <w:rPr>
          <w:rFonts w:eastAsiaTheme="minorEastAsia"/>
        </w:rPr>
        <w:t xml:space="preserve">For air, this can be directly calculated using the above derivation. With oxygen, the only difference is the nitrogen term drops out of the chemical balance. The main effect this has is to </w:t>
      </w:r>
      <w:r>
        <w:rPr>
          <w:rFonts w:eastAsiaTheme="minorEastAsia"/>
        </w:rPr>
        <w:lastRenderedPageBreak/>
        <w:t xml:space="preserve">drastically increase the temperature </w:t>
      </w:r>
      <w:r w:rsidR="00CC6EA1">
        <w:rPr>
          <w:rFonts w:eastAsiaTheme="minorEastAsia"/>
        </w:rPr>
        <w:t>by decreasing the AF ratio. The graph can be seen below with the two temperature ranges super imposed:</w:t>
      </w:r>
    </w:p>
    <w:p w:rsidR="00CC6EA1" w:rsidRDefault="00932DF8" w:rsidP="00932DF8">
      <w:pPr>
        <w:tabs>
          <w:tab w:val="left" w:pos="4680"/>
          <w:tab w:val="left" w:pos="8640"/>
        </w:tabs>
        <w:rPr>
          <w:rFonts w:eastAsiaTheme="minorEastAsia"/>
        </w:rPr>
      </w:pPr>
      <w:r>
        <w:rPr>
          <w:noProof/>
        </w:rPr>
        <w:drawing>
          <wp:inline distT="0" distB="0" distL="0" distR="0" wp14:anchorId="4253BB1A" wp14:editId="213D9EB4">
            <wp:extent cx="5943600" cy="4317365"/>
            <wp:effectExtent l="0" t="0" r="19050" b="260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A04E6" w:rsidRDefault="008A04E6" w:rsidP="00932DF8">
      <w:pPr>
        <w:tabs>
          <w:tab w:val="left" w:pos="4680"/>
          <w:tab w:val="left" w:pos="8640"/>
        </w:tabs>
        <w:rPr>
          <w:rFonts w:eastAsiaTheme="minorEastAsia"/>
        </w:rPr>
      </w:pPr>
      <w:proofErr w:type="gramStart"/>
      <w:r>
        <w:rPr>
          <w:rFonts w:eastAsiaTheme="minorEastAsia"/>
        </w:rPr>
        <w:t>Figure 1.</w:t>
      </w:r>
      <w:proofErr w:type="gramEnd"/>
      <w:r>
        <w:rPr>
          <w:rFonts w:eastAsiaTheme="minorEastAsia"/>
        </w:rPr>
        <w:t xml:space="preserve"> Temperature vs. Equivalence Ratio for Air</w:t>
      </w:r>
    </w:p>
    <w:p w:rsidR="00CC6EA1" w:rsidRDefault="00CC6EA1" w:rsidP="00932DF8">
      <w:pPr>
        <w:tabs>
          <w:tab w:val="left" w:pos="4680"/>
          <w:tab w:val="left" w:pos="8640"/>
        </w:tabs>
        <w:rPr>
          <w:rFonts w:eastAsiaTheme="minorEastAsia"/>
        </w:rPr>
      </w:pPr>
      <w:r>
        <w:rPr>
          <w:rFonts w:eastAsiaTheme="minorEastAsia"/>
        </w:rPr>
        <w:t xml:space="preserve">b.) Do the same as in a, but us the IG model. </w:t>
      </w:r>
    </w:p>
    <w:p w:rsidR="00EF025D" w:rsidRPr="00EA1F3E" w:rsidRDefault="00CC6EA1" w:rsidP="00932DF8">
      <w:pPr>
        <w:tabs>
          <w:tab w:val="left" w:pos="4680"/>
          <w:tab w:val="left" w:pos="8640"/>
        </w:tabs>
        <w:rPr>
          <w:rFonts w:eastAsiaTheme="minorEastAsia"/>
        </w:rPr>
      </w:pPr>
      <w:r>
        <w:rPr>
          <w:rFonts w:eastAsiaTheme="minorEastAsia"/>
        </w:rPr>
        <w:t xml:space="preserve">The reason the simplification is so simple for the PG model is that the </w:t>
      </w:r>
      <w:proofErr w:type="spellStart"/>
      <w:r>
        <w:rPr>
          <w:rFonts w:eastAsiaTheme="minorEastAsia"/>
        </w:rPr>
        <w:t>Cp</w:t>
      </w:r>
      <w:proofErr w:type="spellEnd"/>
      <w:r>
        <w:rPr>
          <w:rFonts w:eastAsiaTheme="minorEastAsia"/>
        </w:rPr>
        <w:t xml:space="preserve"> is assumed to be constant both across temperature ranges and species. For the IG model, this </w:t>
      </w:r>
      <w:r w:rsidR="00EA1F3E">
        <w:rPr>
          <w:rFonts w:eastAsiaTheme="minorEastAsia"/>
        </w:rPr>
        <w:t xml:space="preserve">assumption </w:t>
      </w:r>
      <w:r w:rsidR="008A04E6">
        <w:rPr>
          <w:rFonts w:eastAsiaTheme="minorEastAsia"/>
        </w:rPr>
        <w:t>cannot</w:t>
      </w:r>
      <w:r w:rsidR="00EA1F3E">
        <w:rPr>
          <w:rFonts w:eastAsiaTheme="minorEastAsia"/>
        </w:rPr>
        <w:t xml:space="preserve"> be made. </w:t>
      </w:r>
      <w:r w:rsidR="00932DF8">
        <w:rPr>
          <w:rFonts w:eastAsiaTheme="minorEastAsia"/>
        </w:rPr>
        <w:t>Thus equation (16) must be solved.</w:t>
      </w:r>
      <w:r w:rsidR="00932DF8">
        <w:rPr>
          <w:rFonts w:eastAsiaTheme="minorEastAsia"/>
        </w:rPr>
        <w:tab/>
      </w:r>
      <w:r w:rsidR="00932DF8">
        <w:rPr>
          <w:rFonts w:eastAsiaTheme="minorEastAsia"/>
        </w:rPr>
        <w:tab/>
      </w:r>
    </w:p>
    <w:p w:rsidR="00EA1F3E" w:rsidRDefault="008A04E6" w:rsidP="00932DF8">
      <w:pPr>
        <w:tabs>
          <w:tab w:val="left" w:pos="4680"/>
          <w:tab w:val="left" w:pos="8640"/>
        </w:tabs>
        <w:rPr>
          <w:rFonts w:eastAsiaTheme="minorEastAsia"/>
        </w:rPr>
      </w:pPr>
      <w:r>
        <w:rPr>
          <w:rFonts w:eastAsiaTheme="minorEastAsia"/>
        </w:rPr>
        <w:t>Hence, and i</w:t>
      </w:r>
      <w:r w:rsidR="00EA1F3E">
        <w:rPr>
          <w:rFonts w:eastAsiaTheme="minorEastAsia"/>
        </w:rPr>
        <w:t xml:space="preserve">terative method muse be </w:t>
      </w:r>
      <w:r>
        <w:rPr>
          <w:rFonts w:eastAsiaTheme="minorEastAsia"/>
        </w:rPr>
        <w:t>employed</w:t>
      </w:r>
      <w:r w:rsidR="00EA1F3E">
        <w:rPr>
          <w:rFonts w:eastAsiaTheme="minorEastAsia"/>
        </w:rPr>
        <w:t xml:space="preserve"> as the exit temperature is not known, and what we are trying to solve for. Using TEST, we can determine the adiabatic flame temperature. For the IG model, it is plotted below:</w:t>
      </w:r>
    </w:p>
    <w:p w:rsidR="00EA1F3E" w:rsidRDefault="00932DF8" w:rsidP="00932DF8">
      <w:pPr>
        <w:tabs>
          <w:tab w:val="left" w:pos="4680"/>
          <w:tab w:val="left" w:pos="8640"/>
        </w:tabs>
        <w:rPr>
          <w:rFonts w:eastAsiaTheme="minorEastAsia"/>
        </w:rPr>
      </w:pPr>
      <w:r>
        <w:rPr>
          <w:noProof/>
        </w:rPr>
        <w:lastRenderedPageBreak/>
        <w:drawing>
          <wp:inline distT="0" distB="0" distL="0" distR="0" wp14:anchorId="53FE1317" wp14:editId="552F3FEE">
            <wp:extent cx="5943600" cy="4316095"/>
            <wp:effectExtent l="0" t="0" r="1905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A04E6" w:rsidRDefault="008A04E6" w:rsidP="00932DF8">
      <w:pPr>
        <w:tabs>
          <w:tab w:val="left" w:pos="4680"/>
          <w:tab w:val="left" w:pos="8640"/>
        </w:tabs>
        <w:rPr>
          <w:rFonts w:eastAsiaTheme="minorEastAsia"/>
        </w:rPr>
      </w:pPr>
      <w:proofErr w:type="gramStart"/>
      <w:r>
        <w:rPr>
          <w:rFonts w:eastAsiaTheme="minorEastAsia"/>
        </w:rPr>
        <w:t>Figure 2.</w:t>
      </w:r>
      <w:proofErr w:type="gramEnd"/>
      <w:r>
        <w:rPr>
          <w:rFonts w:eastAsiaTheme="minorEastAsia"/>
        </w:rPr>
        <w:t xml:space="preserve"> Adiabatic Flame Temperature vs. Equivalence Ratio</w:t>
      </w:r>
    </w:p>
    <w:p w:rsidR="00EA1F3E" w:rsidRDefault="00EA1F3E" w:rsidP="00932DF8">
      <w:pPr>
        <w:tabs>
          <w:tab w:val="left" w:pos="4680"/>
          <w:tab w:val="left" w:pos="8640"/>
        </w:tabs>
        <w:rPr>
          <w:rFonts w:eastAsiaTheme="minorEastAsia"/>
        </w:rPr>
      </w:pPr>
      <w:r>
        <w:rPr>
          <w:rFonts w:eastAsiaTheme="minorEastAsia"/>
        </w:rPr>
        <w:t>We can see that the temperature is less than the PG model, which is to be expected. It also appears to be much less linear than the PG model, also to be expected.</w:t>
      </w:r>
      <w:r w:rsidR="005734BF">
        <w:rPr>
          <w:rFonts w:eastAsiaTheme="minorEastAsia"/>
        </w:rPr>
        <w:t xml:space="preserve"> Note also, it is much more accurate as the lines are no longer linear, but rather nonlinear in nature.</w:t>
      </w:r>
      <w:r>
        <w:rPr>
          <w:rFonts w:eastAsiaTheme="minorEastAsia"/>
        </w:rPr>
        <w:t xml:space="preserve"> </w:t>
      </w:r>
    </w:p>
    <w:p w:rsidR="00D84CB0" w:rsidRDefault="00D84CB0" w:rsidP="00932DF8">
      <w:pPr>
        <w:tabs>
          <w:tab w:val="left" w:pos="4680"/>
          <w:tab w:val="left" w:pos="8640"/>
        </w:tabs>
        <w:rPr>
          <w:rFonts w:eastAsiaTheme="minorEastAsia"/>
        </w:rPr>
      </w:pPr>
      <w:r>
        <w:rPr>
          <w:rFonts w:eastAsiaTheme="minorEastAsia"/>
        </w:rPr>
        <w:t xml:space="preserve">c.) Plot the </w:t>
      </w:r>
      <w:r w:rsidR="005734BF">
        <w:rPr>
          <w:rFonts w:eastAsiaTheme="minorEastAsia"/>
        </w:rPr>
        <w:t>adiabatic</w:t>
      </w:r>
      <w:r>
        <w:rPr>
          <w:rFonts w:eastAsiaTheme="minorEastAsia"/>
        </w:rPr>
        <w:t xml:space="preserve"> flame temperature as the ratio of methane to carbon changes from zero methane to pure methane. Do this with the PG model with theoretical air. </w:t>
      </w:r>
    </w:p>
    <w:p w:rsidR="00D84CB0" w:rsidRDefault="00D84CB0" w:rsidP="00932DF8">
      <w:pPr>
        <w:tabs>
          <w:tab w:val="left" w:pos="4680"/>
          <w:tab w:val="left" w:pos="8640"/>
        </w:tabs>
        <w:rPr>
          <w:rFonts w:eastAsiaTheme="minorEastAsia"/>
        </w:rPr>
      </w:pPr>
      <w:r>
        <w:rPr>
          <w:rFonts w:eastAsiaTheme="minorEastAsia"/>
        </w:rPr>
        <w:t xml:space="preserve">This problem is a great way to determine the temperature of various mixtures of methane and carbon and what output temperature they could produce. This could be used for a variety of applications. If coupled with a cost of the fuel, it could easily be used to gauge what the optimal ratio of the fuels would </w:t>
      </w:r>
      <w:r w:rsidR="00DE0D6F">
        <w:rPr>
          <w:rFonts w:eastAsiaTheme="minorEastAsia"/>
        </w:rPr>
        <w:t xml:space="preserve">be for max temperature output. </w:t>
      </w:r>
    </w:p>
    <w:p w:rsidR="00DE0D6F" w:rsidRDefault="00DE0D6F" w:rsidP="00932DF8">
      <w:pPr>
        <w:tabs>
          <w:tab w:val="left" w:pos="4680"/>
          <w:tab w:val="left" w:pos="8640"/>
        </w:tabs>
        <w:rPr>
          <w:rFonts w:eastAsiaTheme="minorEastAsia"/>
        </w:rPr>
      </w:pPr>
      <w:r>
        <w:rPr>
          <w:rFonts w:eastAsiaTheme="minorEastAsia"/>
        </w:rPr>
        <w:t xml:space="preserve">Once again, </w:t>
      </w:r>
      <w:r w:rsidR="00932DF8">
        <w:rPr>
          <w:rFonts w:eastAsiaTheme="minorEastAsia"/>
        </w:rPr>
        <w:t>equation (17) is utilized.</w:t>
      </w:r>
    </w:p>
    <w:p w:rsidR="00DE0D6F" w:rsidRDefault="00DE0D6F" w:rsidP="00932DF8">
      <w:pPr>
        <w:tabs>
          <w:tab w:val="left" w:pos="4680"/>
          <w:tab w:val="left" w:pos="8640"/>
        </w:tabs>
        <w:rPr>
          <w:rFonts w:eastAsiaTheme="minorEastAsia"/>
        </w:rPr>
      </w:pPr>
      <w:r>
        <w:rPr>
          <w:rFonts w:eastAsiaTheme="minorEastAsia"/>
        </w:rPr>
        <w:t xml:space="preserve">However, this time </w:t>
      </w:r>
      <w:proofErr w:type="gramStart"/>
      <w:r>
        <w:rPr>
          <w:rFonts w:eastAsiaTheme="minorEastAsia"/>
        </w:rPr>
        <w:t xml:space="preserve">the </w:t>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oMath>
      <w:r>
        <w:rPr>
          <w:rFonts w:eastAsiaTheme="minorEastAsia"/>
        </w:rPr>
        <w:t xml:space="preserve"> is</w:t>
      </w:r>
      <w:proofErr w:type="gramEnd"/>
      <w:r>
        <w:rPr>
          <w:rFonts w:eastAsiaTheme="minorEastAsia"/>
        </w:rPr>
        <w:t xml:space="preserve"> not constant. The chemical balance will have to be calculated </w:t>
      </w:r>
      <w:proofErr w:type="gramStart"/>
      <w:r>
        <w:rPr>
          <w:rFonts w:eastAsiaTheme="minorEastAsia"/>
        </w:rPr>
        <w:t>at each iteration</w:t>
      </w:r>
      <w:proofErr w:type="gramEnd"/>
      <w:r>
        <w:rPr>
          <w:rFonts w:eastAsiaTheme="minorEastAsia"/>
        </w:rPr>
        <w:t>:</w:t>
      </w:r>
    </w:p>
    <w:p w:rsidR="00DE0D6F" w:rsidRPr="00584DFE" w:rsidRDefault="00932DF8" w:rsidP="00932DF8">
      <w:pPr>
        <w:tabs>
          <w:tab w:val="center" w:pos="4680"/>
          <w:tab w:val="left" w:pos="8640"/>
        </w:tabs>
        <w:rPr>
          <w:rFonts w:eastAsiaTheme="minorEastAsia"/>
        </w:rPr>
      </w:pPr>
      <w:r>
        <w:rPr>
          <w:rFonts w:eastAsiaTheme="minorEastAsia"/>
        </w:rPr>
        <w:tab/>
      </w:r>
      <m:oMath>
        <m:r>
          <w:rPr>
            <w:rFonts w:ascii="Cambria Math" w:hAnsi="Cambria Math"/>
          </w:rPr>
          <m:t>a</m:t>
        </m:r>
        <m:r>
          <m:rPr>
            <m:sty m:val="p"/>
          </m:rPr>
          <w:rPr>
            <w:rFonts w:ascii="Cambria Math" w:hAnsi="Cambria Math"/>
          </w:rPr>
          <m:t>C</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r>
          <w:rPr>
            <w:rFonts w:ascii="Cambria Math" w:hAnsi="Cambria Math"/>
          </w:rPr>
          <m:t>+b</m:t>
        </m:r>
        <m:r>
          <m:rPr>
            <m:sty m:val="p"/>
          </m:rPr>
          <w:rPr>
            <w:rFonts w:ascii="Cambria Math" w:hAnsi="Cambria Math"/>
          </w:rPr>
          <m:t>C</m:t>
        </m:r>
        <m:r>
          <w:rPr>
            <w:rFonts w:ascii="Cambria Math" w:hAnsi="Cambria Math"/>
          </w:rPr>
          <m:t>+d</m:t>
        </m:r>
        <m:d>
          <m:dPr>
            <m:ctrlPr>
              <w:rPr>
                <w:rFonts w:ascii="Cambria Math" w:hAnsi="Cambria Math"/>
                <w:i/>
              </w:rPr>
            </m:ctrlPr>
          </m:d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+3.76</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e</m:t>
        </m:r>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w:rPr>
            <w:rFonts w:ascii="Cambria Math" w:hAnsi="Cambria Math"/>
          </w:rPr>
          <m:t>+f</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r>
          <w:rPr>
            <w:rFonts w:ascii="Cambria Math" w:hAnsi="Cambria Math"/>
          </w:rPr>
          <m:t>+g</m:t>
        </m:r>
        <m:sSub>
          <m:sSubPr>
            <m:ctrlPr>
              <w:rPr>
                <w:rFonts w:ascii="Cambria Math" w:hAnsi="Cambria Math"/>
              </w:rPr>
            </m:ctrlPr>
          </m:sSubPr>
          <m:e>
            <m:r>
              <m:rPr>
                <m:sty m:val="p"/>
              </m:rPr>
              <w:rPr>
                <w:rFonts w:ascii="Cambria Math" w:hAnsi="Cambria Math"/>
              </w:rPr>
              <m:t>N</m:t>
            </m:r>
          </m:e>
          <m:sub>
            <m:r>
              <w:rPr>
                <w:rFonts w:ascii="Cambria Math" w:hAnsi="Cambria Math"/>
              </w:rPr>
              <m:t>2</m:t>
            </m:r>
          </m:sub>
        </m:sSub>
      </m:oMath>
      <w:r>
        <w:rPr>
          <w:rFonts w:eastAsiaTheme="minorEastAsia"/>
        </w:rPr>
        <w:tab/>
        <w:t>(20)</w:t>
      </w:r>
    </w:p>
    <w:p w:rsidR="00DE0D6F" w:rsidRDefault="00DE0D6F" w:rsidP="00932DF8">
      <w:pPr>
        <w:tabs>
          <w:tab w:val="left" w:pos="4680"/>
          <w:tab w:val="left" w:pos="8640"/>
        </w:tabs>
        <w:rPr>
          <w:rFonts w:eastAsiaTheme="minorEastAsia"/>
        </w:rPr>
      </w:pPr>
      <w:r>
        <w:rPr>
          <w:rFonts w:eastAsiaTheme="minorEastAsia"/>
        </w:rPr>
        <w:lastRenderedPageBreak/>
        <w:t xml:space="preserve">Where </w:t>
      </w:r>
      <w:proofErr w:type="gramStart"/>
      <w:r>
        <w:rPr>
          <w:rFonts w:eastAsiaTheme="minorEastAsia"/>
        </w:rPr>
        <w:t>a varies</w:t>
      </w:r>
      <w:proofErr w:type="gramEnd"/>
      <w:r>
        <w:rPr>
          <w:rFonts w:eastAsiaTheme="minorEastAsia"/>
        </w:rPr>
        <w:t xml:space="preserve"> from 0 to 1, b varies from 1 to 0, and the remaining coefficients can be determined from below:</w:t>
      </w:r>
    </w:p>
    <w:p w:rsidR="00DE0D6F" w:rsidRPr="00DE0D6F"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a+b=1=e</m:t>
        </m:r>
      </m:oMath>
      <w:r>
        <w:rPr>
          <w:rFonts w:eastAsiaTheme="minorEastAsia"/>
        </w:rPr>
        <w:tab/>
        <w:t>(21)</w:t>
      </w:r>
    </w:p>
    <w:p w:rsidR="00DE0D6F" w:rsidRPr="00DE0D6F"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2a=f</m:t>
        </m:r>
      </m:oMath>
      <w:r>
        <w:rPr>
          <w:rFonts w:eastAsiaTheme="minorEastAsia"/>
        </w:rPr>
        <w:tab/>
        <w:t>(22)</w:t>
      </w:r>
    </w:p>
    <w:p w:rsidR="00DE0D6F" w:rsidRPr="00DE0D6F"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d=1+a</m:t>
        </m:r>
      </m:oMath>
      <w:r>
        <w:rPr>
          <w:rFonts w:eastAsiaTheme="minorEastAsia"/>
        </w:rPr>
        <w:tab/>
        <w:t>(23)</w:t>
      </w:r>
    </w:p>
    <w:p w:rsidR="00DE0D6F" w:rsidRPr="00DE0D6F" w:rsidRDefault="00932DF8" w:rsidP="00932DF8">
      <w:pPr>
        <w:tabs>
          <w:tab w:val="center" w:pos="4680"/>
          <w:tab w:val="left" w:pos="8640"/>
        </w:tabs>
        <w:rPr>
          <w:rFonts w:eastAsiaTheme="minorEastAsia"/>
        </w:rPr>
      </w:pPr>
      <w:r>
        <w:rPr>
          <w:rFonts w:eastAsiaTheme="minorEastAsia"/>
        </w:rPr>
        <w:tab/>
      </w:r>
      <m:oMath>
        <m:r>
          <w:rPr>
            <w:rFonts w:ascii="Cambria Math" w:eastAsiaTheme="minorEastAsia" w:hAnsi="Cambria Math"/>
          </w:rPr>
          <m:t>g=d*3.76</m:t>
        </m:r>
      </m:oMath>
      <w:r>
        <w:rPr>
          <w:rFonts w:eastAsiaTheme="minorEastAsia"/>
        </w:rPr>
        <w:tab/>
        <w:t>(24)</w:t>
      </w:r>
    </w:p>
    <w:p w:rsidR="00DE0D6F" w:rsidRDefault="00DE0D6F" w:rsidP="00932DF8">
      <w:pPr>
        <w:tabs>
          <w:tab w:val="left" w:pos="4680"/>
          <w:tab w:val="left" w:pos="8640"/>
        </w:tabs>
        <w:rPr>
          <w:rFonts w:eastAsiaTheme="minorEastAsia"/>
        </w:rPr>
      </w:pPr>
      <w:r>
        <w:rPr>
          <w:rFonts w:eastAsiaTheme="minorEastAsia"/>
        </w:rPr>
        <w:t xml:space="preserve">Looping over </w:t>
      </w:r>
      <w:proofErr w:type="gramStart"/>
      <w:r>
        <w:rPr>
          <w:rFonts w:eastAsiaTheme="minorEastAsia"/>
        </w:rPr>
        <w:t>a and</w:t>
      </w:r>
      <w:proofErr w:type="gramEnd"/>
      <w:r>
        <w:rPr>
          <w:rFonts w:eastAsiaTheme="minorEastAsia"/>
        </w:rPr>
        <w:t xml:space="preserve"> b, we can determine the adiabatic flame temperature. The results are plotted below:</w:t>
      </w:r>
    </w:p>
    <w:p w:rsidR="00DE0D6F" w:rsidRDefault="00DE0D6F" w:rsidP="00932DF8">
      <w:pPr>
        <w:tabs>
          <w:tab w:val="left" w:pos="4680"/>
          <w:tab w:val="left" w:pos="8640"/>
        </w:tabs>
        <w:rPr>
          <w:rFonts w:eastAsiaTheme="minorEastAsia"/>
        </w:rPr>
      </w:pPr>
      <w:r>
        <w:rPr>
          <w:noProof/>
        </w:rPr>
        <w:drawing>
          <wp:inline distT="0" distB="0" distL="0" distR="0" wp14:anchorId="10B480DB" wp14:editId="77BFFA8B">
            <wp:extent cx="5943600" cy="4316095"/>
            <wp:effectExtent l="0" t="0" r="1905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04E6" w:rsidRDefault="008A04E6" w:rsidP="00932DF8">
      <w:pPr>
        <w:tabs>
          <w:tab w:val="left" w:pos="4680"/>
          <w:tab w:val="left" w:pos="8640"/>
        </w:tabs>
        <w:rPr>
          <w:rFonts w:eastAsiaTheme="minorEastAsia"/>
        </w:rPr>
      </w:pPr>
      <w:proofErr w:type="gramStart"/>
      <w:r>
        <w:rPr>
          <w:rFonts w:eastAsiaTheme="minorEastAsia"/>
        </w:rPr>
        <w:t>Figure 3.</w:t>
      </w:r>
      <w:proofErr w:type="gramEnd"/>
      <w:r>
        <w:rPr>
          <w:rFonts w:eastAsiaTheme="minorEastAsia"/>
        </w:rPr>
        <w:t xml:space="preserve"> </w:t>
      </w:r>
      <w:proofErr w:type="gramStart"/>
      <w:r>
        <w:rPr>
          <w:rFonts w:eastAsiaTheme="minorEastAsia"/>
        </w:rPr>
        <w:t>The adiabatic flame temperature with various mixture percentages.</w:t>
      </w:r>
      <w:proofErr w:type="gramEnd"/>
      <w:r>
        <w:rPr>
          <w:rFonts w:eastAsiaTheme="minorEastAsia"/>
        </w:rPr>
        <w:t xml:space="preserve"> </w:t>
      </w:r>
    </w:p>
    <w:p w:rsidR="008A04E6" w:rsidRPr="00DE0D6F" w:rsidRDefault="008A04E6" w:rsidP="00932DF8">
      <w:pPr>
        <w:tabs>
          <w:tab w:val="left" w:pos="4680"/>
          <w:tab w:val="left" w:pos="8640"/>
        </w:tabs>
        <w:rPr>
          <w:rFonts w:eastAsiaTheme="minorEastAsia"/>
        </w:rPr>
      </w:pPr>
      <w:r>
        <w:rPr>
          <w:rFonts w:eastAsiaTheme="minorEastAsia"/>
        </w:rPr>
        <w:t xml:space="preserve">From Figure 3 it is clear to see that Methane has a higher adiabatic flame temperature than that of Carbon. It is interesting to note that the relationship between the two is not linear in nature. This graph could eventually be used to optimize the ratio of the two fuels to provide an ideal mixture. </w:t>
      </w:r>
      <w:bookmarkEnd w:id="0"/>
    </w:p>
    <w:sectPr w:rsidR="008A04E6" w:rsidRPr="00DE0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FE"/>
    <w:rsid w:val="0000619D"/>
    <w:rsid w:val="00076EF0"/>
    <w:rsid w:val="000F6904"/>
    <w:rsid w:val="000F7855"/>
    <w:rsid w:val="005550CB"/>
    <w:rsid w:val="005734BF"/>
    <w:rsid w:val="00584DFE"/>
    <w:rsid w:val="00660AEE"/>
    <w:rsid w:val="006D2818"/>
    <w:rsid w:val="0080054D"/>
    <w:rsid w:val="008A04E6"/>
    <w:rsid w:val="00932DF8"/>
    <w:rsid w:val="00952545"/>
    <w:rsid w:val="00CB665E"/>
    <w:rsid w:val="00CC6EA1"/>
    <w:rsid w:val="00D84CB0"/>
    <w:rsid w:val="00DE0D6F"/>
    <w:rsid w:val="00EA1F3E"/>
    <w:rsid w:val="00EF025D"/>
    <w:rsid w:val="00F6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84DFE"/>
  </w:style>
  <w:style w:type="character" w:styleId="PlaceholderText">
    <w:name w:val="Placeholder Text"/>
    <w:basedOn w:val="DefaultParagraphFont"/>
    <w:uiPriority w:val="99"/>
    <w:semiHidden/>
    <w:rsid w:val="00584DFE"/>
    <w:rPr>
      <w:color w:val="808080"/>
    </w:rPr>
  </w:style>
  <w:style w:type="paragraph" w:styleId="BalloonText">
    <w:name w:val="Balloon Text"/>
    <w:basedOn w:val="Normal"/>
    <w:link w:val="BalloonTextChar"/>
    <w:uiPriority w:val="99"/>
    <w:semiHidden/>
    <w:unhideWhenUsed/>
    <w:rsid w:val="00584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DFE"/>
    <w:rPr>
      <w:rFonts w:ascii="Tahoma" w:hAnsi="Tahoma" w:cs="Tahoma"/>
      <w:sz w:val="16"/>
      <w:szCs w:val="16"/>
    </w:rPr>
  </w:style>
  <w:style w:type="paragraph" w:styleId="ListParagraph">
    <w:name w:val="List Paragraph"/>
    <w:basedOn w:val="Normal"/>
    <w:uiPriority w:val="34"/>
    <w:qFormat/>
    <w:rsid w:val="00006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84DFE"/>
  </w:style>
  <w:style w:type="character" w:styleId="PlaceholderText">
    <w:name w:val="Placeholder Text"/>
    <w:basedOn w:val="DefaultParagraphFont"/>
    <w:uiPriority w:val="99"/>
    <w:semiHidden/>
    <w:rsid w:val="00584DFE"/>
    <w:rPr>
      <w:color w:val="808080"/>
    </w:rPr>
  </w:style>
  <w:style w:type="paragraph" w:styleId="BalloonText">
    <w:name w:val="Balloon Text"/>
    <w:basedOn w:val="Normal"/>
    <w:link w:val="BalloonTextChar"/>
    <w:uiPriority w:val="99"/>
    <w:semiHidden/>
    <w:unhideWhenUsed/>
    <w:rsid w:val="00584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DFE"/>
    <w:rPr>
      <w:rFonts w:ascii="Tahoma" w:hAnsi="Tahoma" w:cs="Tahoma"/>
      <w:sz w:val="16"/>
      <w:szCs w:val="16"/>
    </w:rPr>
  </w:style>
  <w:style w:type="paragraph" w:styleId="ListParagraph">
    <w:name w:val="List Paragraph"/>
    <w:basedOn w:val="Normal"/>
    <w:uiPriority w:val="34"/>
    <w:qFormat/>
    <w:rsid w:val="00006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vi\Documents\My%20Dropbox\653\Ta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vi\Documents\My%20Dropbox\653\Ta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vi\Documents\My%20Dropbox\653\T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Adiabatic</a:t>
            </a:r>
            <a:r>
              <a:rPr lang="en-US" baseline="0"/>
              <a:t> Flame Temperature for PG Model</a:t>
            </a:r>
            <a:endParaRPr lang="en-US"/>
          </a:p>
        </c:rich>
      </c:tx>
      <c:overlay val="0"/>
    </c:title>
    <c:autoTitleDeleted val="0"/>
    <c:plotArea>
      <c:layout/>
      <c:scatterChart>
        <c:scatterStyle val="smoothMarker"/>
        <c:varyColors val="0"/>
        <c:ser>
          <c:idx val="0"/>
          <c:order val="0"/>
          <c:tx>
            <c:v>Taf for Air</c:v>
          </c:tx>
          <c:marker>
            <c:symbol val="none"/>
          </c:marker>
          <c:xVal>
            <c:numRef>
              <c:f>DATA_PG_AIR!$B$2:$B$33</c:f>
              <c:numCache>
                <c:formatCode>General</c:formatCode>
                <c:ptCount val="32"/>
                <c:pt idx="0">
                  <c:v>1.4285714285714286</c:v>
                </c:pt>
                <c:pt idx="1">
                  <c:v>1.3333333333333333</c:v>
                </c:pt>
                <c:pt idx="2">
                  <c:v>1.25</c:v>
                </c:pt>
                <c:pt idx="3">
                  <c:v>1.1764705882352942</c:v>
                </c:pt>
                <c:pt idx="4">
                  <c:v>1.1111111111111112</c:v>
                </c:pt>
                <c:pt idx="5">
                  <c:v>1.0526315789473684</c:v>
                </c:pt>
                <c:pt idx="6">
                  <c:v>1.0416666666666667</c:v>
                </c:pt>
                <c:pt idx="7">
                  <c:v>1.0309278350515465</c:v>
                </c:pt>
                <c:pt idx="8">
                  <c:v>1.0204081632653061</c:v>
                </c:pt>
                <c:pt idx="9">
                  <c:v>1.0101010101010102</c:v>
                </c:pt>
                <c:pt idx="10">
                  <c:v>1.0010010010010011</c:v>
                </c:pt>
                <c:pt idx="11">
                  <c:v>1</c:v>
                </c:pt>
                <c:pt idx="12">
                  <c:v>0.95238095238095233</c:v>
                </c:pt>
                <c:pt idx="13">
                  <c:v>0.90909090909090906</c:v>
                </c:pt>
                <c:pt idx="14">
                  <c:v>0.86956521739130443</c:v>
                </c:pt>
                <c:pt idx="15">
                  <c:v>0.83333333333333337</c:v>
                </c:pt>
                <c:pt idx="16">
                  <c:v>0.8</c:v>
                </c:pt>
                <c:pt idx="17">
                  <c:v>0.76923076923076916</c:v>
                </c:pt>
                <c:pt idx="18">
                  <c:v>0.7407407407407407</c:v>
                </c:pt>
                <c:pt idx="19">
                  <c:v>0.7142857142857143</c:v>
                </c:pt>
                <c:pt idx="20">
                  <c:v>0.68965517241379315</c:v>
                </c:pt>
                <c:pt idx="21">
                  <c:v>0.66666666666666663</c:v>
                </c:pt>
                <c:pt idx="22">
                  <c:v>0.64516129032258063</c:v>
                </c:pt>
                <c:pt idx="23">
                  <c:v>0.625</c:v>
                </c:pt>
                <c:pt idx="24">
                  <c:v>0.60606060606060608</c:v>
                </c:pt>
                <c:pt idx="25">
                  <c:v>0.58823529411764708</c:v>
                </c:pt>
                <c:pt idx="26">
                  <c:v>0.5714285714285714</c:v>
                </c:pt>
                <c:pt idx="27">
                  <c:v>0.55555555555555558</c:v>
                </c:pt>
                <c:pt idx="28">
                  <c:v>0.54054054054054046</c:v>
                </c:pt>
                <c:pt idx="29">
                  <c:v>0.52631578947368418</c:v>
                </c:pt>
                <c:pt idx="30">
                  <c:v>0.51282051282051289</c:v>
                </c:pt>
              </c:numCache>
            </c:numRef>
          </c:xVal>
          <c:yVal>
            <c:numRef>
              <c:f>DATA_PG_AIR!$F$2:$F$33</c:f>
              <c:numCache>
                <c:formatCode>General</c:formatCode>
                <c:ptCount val="32"/>
                <c:pt idx="0">
                  <c:v>2184.4292257553066</c:v>
                </c:pt>
                <c:pt idx="1">
                  <c:v>2303.1092176378506</c:v>
                </c:pt>
                <c:pt idx="2">
                  <c:v>2408.1103045956538</c:v>
                </c:pt>
                <c:pt idx="3">
                  <c:v>2501.6685438497689</c:v>
                </c:pt>
                <c:pt idx="4">
                  <c:v>2585.5578126715709</c:v>
                </c:pt>
                <c:pt idx="5">
                  <c:v>2661.2033534718826</c:v>
                </c:pt>
                <c:pt idx="6">
                  <c:v>2675.4491074248413</c:v>
                </c:pt>
                <c:pt idx="7">
                  <c:v>2689.4202744076983</c:v>
                </c:pt>
                <c:pt idx="8">
                  <c:v>2703.1247176362772</c:v>
                </c:pt>
                <c:pt idx="9">
                  <c:v>2716.5700029316481</c:v>
                </c:pt>
                <c:pt idx="10">
                  <c:v>2728.4552041734187</c:v>
                </c:pt>
                <c:pt idx="11">
                  <c:v>2729.7634126481494</c:v>
                </c:pt>
                <c:pt idx="12">
                  <c:v>2608.7571787237534</c:v>
                </c:pt>
                <c:pt idx="13">
                  <c:v>2498.1144991438005</c:v>
                </c:pt>
                <c:pt idx="14">
                  <c:v>2396.5586687238965</c:v>
                </c:pt>
                <c:pt idx="15">
                  <c:v>2303.0144167758849</c:v>
                </c:pt>
                <c:pt idx="16">
                  <c:v>2216.5696875286353</c:v>
                </c:pt>
                <c:pt idx="17">
                  <c:v>2136.4458044057092</c:v>
                </c:pt>
                <c:pt idx="18">
                  <c:v>2061.9739482371538</c:v>
                </c:pt>
                <c:pt idx="19">
                  <c:v>1992.5764436429693</c:v>
                </c:pt>
                <c:pt idx="20">
                  <c:v>1927.7517447022469</c:v>
                </c:pt>
                <c:pt idx="21">
                  <c:v>1867.0622939708555</c:v>
                </c:pt>
                <c:pt idx="22">
                  <c:v>1810.1246331465354</c:v>
                </c:pt>
                <c:pt idx="23">
                  <c:v>1756.6012928038547</c:v>
                </c:pt>
                <c:pt idx="24">
                  <c:v>1706.1940986759423</c:v>
                </c:pt>
                <c:pt idx="25">
                  <c:v>1658.6386139966448</c:v>
                </c:pt>
                <c:pt idx="26">
                  <c:v>1613.6994991430963</c:v>
                </c:pt>
                <c:pt idx="27">
                  <c:v>1571.1666166720106</c:v>
                </c:pt>
                <c:pt idx="28">
                  <c:v>1530.8517457015419</c:v>
                </c:pt>
                <c:pt idx="29">
                  <c:v>1492.5857972480082</c:v>
                </c:pt>
                <c:pt idx="30">
                  <c:v>1456.2164436156997</c:v>
                </c:pt>
              </c:numCache>
            </c:numRef>
          </c:yVal>
          <c:smooth val="1"/>
        </c:ser>
        <c:ser>
          <c:idx val="1"/>
          <c:order val="1"/>
          <c:tx>
            <c:v>Taf for Pure O2</c:v>
          </c:tx>
          <c:marker>
            <c:symbol val="none"/>
          </c:marker>
          <c:xVal>
            <c:numRef>
              <c:f>DATA_PG_AIR!$H$2:$H$37</c:f>
              <c:numCache>
                <c:formatCode>General</c:formatCode>
                <c:ptCount val="36"/>
                <c:pt idx="0">
                  <c:v>1.4285714285714286</c:v>
                </c:pt>
                <c:pt idx="1">
                  <c:v>1.3333333333333333</c:v>
                </c:pt>
                <c:pt idx="2">
                  <c:v>1.25</c:v>
                </c:pt>
                <c:pt idx="3">
                  <c:v>1.1764705882352942</c:v>
                </c:pt>
                <c:pt idx="4">
                  <c:v>1.1111111111111112</c:v>
                </c:pt>
                <c:pt idx="5">
                  <c:v>1.0526315789473684</c:v>
                </c:pt>
                <c:pt idx="6">
                  <c:v>1.0416666666666667</c:v>
                </c:pt>
                <c:pt idx="7">
                  <c:v>1.0309278350515465</c:v>
                </c:pt>
                <c:pt idx="8">
                  <c:v>1.0204081632653061</c:v>
                </c:pt>
                <c:pt idx="9">
                  <c:v>1.0101010101010102</c:v>
                </c:pt>
                <c:pt idx="10">
                  <c:v>1.0010010010010011</c:v>
                </c:pt>
                <c:pt idx="11">
                  <c:v>1</c:v>
                </c:pt>
                <c:pt idx="12">
                  <c:v>0.95238095238095233</c:v>
                </c:pt>
                <c:pt idx="13">
                  <c:v>0.90909090909090906</c:v>
                </c:pt>
                <c:pt idx="14">
                  <c:v>0.86956521739130443</c:v>
                </c:pt>
                <c:pt idx="15">
                  <c:v>0.83333333333333337</c:v>
                </c:pt>
                <c:pt idx="16">
                  <c:v>0.8</c:v>
                </c:pt>
                <c:pt idx="17">
                  <c:v>0.76923076923076916</c:v>
                </c:pt>
                <c:pt idx="18">
                  <c:v>0.7407407407407407</c:v>
                </c:pt>
                <c:pt idx="19">
                  <c:v>0.7142857142857143</c:v>
                </c:pt>
                <c:pt idx="20">
                  <c:v>0.68965517241379315</c:v>
                </c:pt>
                <c:pt idx="21">
                  <c:v>0.66666666666666663</c:v>
                </c:pt>
                <c:pt idx="22">
                  <c:v>0.64516129032258063</c:v>
                </c:pt>
                <c:pt idx="23">
                  <c:v>0.625</c:v>
                </c:pt>
                <c:pt idx="24">
                  <c:v>0.60606060606060608</c:v>
                </c:pt>
                <c:pt idx="25">
                  <c:v>0.58823529411764708</c:v>
                </c:pt>
                <c:pt idx="26">
                  <c:v>0.5714285714285714</c:v>
                </c:pt>
                <c:pt idx="27">
                  <c:v>0.55555555555555558</c:v>
                </c:pt>
                <c:pt idx="28">
                  <c:v>0.54054054054054046</c:v>
                </c:pt>
                <c:pt idx="29">
                  <c:v>0.52631578947368418</c:v>
                </c:pt>
                <c:pt idx="30">
                  <c:v>0.51282051282051289</c:v>
                </c:pt>
              </c:numCache>
            </c:numRef>
          </c:xVal>
          <c:yVal>
            <c:numRef>
              <c:f>DATA_PG_AIR!$I$2:$I$37</c:f>
              <c:numCache>
                <c:formatCode>General</c:formatCode>
                <c:ptCount val="36"/>
                <c:pt idx="0">
                  <c:v>7235.588235294118</c:v>
                </c:pt>
                <c:pt idx="1">
                  <c:v>7738.45</c:v>
                </c:pt>
                <c:pt idx="2">
                  <c:v>8195.2480916030527</c:v>
                </c:pt>
                <c:pt idx="3">
                  <c:v>8612.0346715328451</c:v>
                </c:pt>
                <c:pt idx="4">
                  <c:v>8993.8461538461543</c:v>
                </c:pt>
                <c:pt idx="5">
                  <c:v>9344.9077181208067</c:v>
                </c:pt>
                <c:pt idx="6">
                  <c:v>9411.754327563247</c:v>
                </c:pt>
                <c:pt idx="7">
                  <c:v>9477.5412813738458</c:v>
                </c:pt>
                <c:pt idx="8">
                  <c:v>9542.2935779816544</c:v>
                </c:pt>
                <c:pt idx="9">
                  <c:v>9606.0354356306871</c:v>
                </c:pt>
                <c:pt idx="10">
                  <c:v>9662.5585937499982</c:v>
                </c:pt>
                <c:pt idx="11">
                  <c:v>9668.790322580644</c:v>
                </c:pt>
                <c:pt idx="12">
                  <c:v>9309.3944099378859</c:v>
                </c:pt>
                <c:pt idx="13">
                  <c:v>8975.8233532934119</c:v>
                </c:pt>
                <c:pt idx="14">
                  <c:v>8665.3901734104038</c:v>
                </c:pt>
                <c:pt idx="15">
                  <c:v>8375.7681564245813</c:v>
                </c:pt>
                <c:pt idx="16">
                  <c:v>8104.9324324324316</c:v>
                </c:pt>
                <c:pt idx="17">
                  <c:v>7851.1125654450252</c:v>
                </c:pt>
                <c:pt idx="18">
                  <c:v>7612.7538071065983</c:v>
                </c:pt>
                <c:pt idx="19">
                  <c:v>7388.4852216748777</c:v>
                </c:pt>
                <c:pt idx="20">
                  <c:v>7177.0933014354068</c:v>
                </c:pt>
                <c:pt idx="21">
                  <c:v>6977.4999999999991</c:v>
                </c:pt>
                <c:pt idx="22">
                  <c:v>6788.7443438914015</c:v>
                </c:pt>
                <c:pt idx="23">
                  <c:v>6609.9669603524217</c:v>
                </c:pt>
                <c:pt idx="24">
                  <c:v>6440.3969957081545</c:v>
                </c:pt>
                <c:pt idx="25">
                  <c:v>6279.3410041840998</c:v>
                </c:pt>
                <c:pt idx="26">
                  <c:v>6126.1734693877543</c:v>
                </c:pt>
                <c:pt idx="27">
                  <c:v>5980.3286852589636</c:v>
                </c:pt>
                <c:pt idx="28">
                  <c:v>5841.2937743190651</c:v>
                </c:pt>
                <c:pt idx="29">
                  <c:v>5708.6026615969586</c:v>
                </c:pt>
                <c:pt idx="30">
                  <c:v>5581.8308550185875</c:v>
                </c:pt>
              </c:numCache>
            </c:numRef>
          </c:yVal>
          <c:smooth val="1"/>
        </c:ser>
        <c:dLbls>
          <c:showLegendKey val="0"/>
          <c:showVal val="0"/>
          <c:showCatName val="0"/>
          <c:showSerName val="0"/>
          <c:showPercent val="0"/>
          <c:showBubbleSize val="0"/>
        </c:dLbls>
        <c:axId val="154233856"/>
        <c:axId val="170976000"/>
      </c:scatterChart>
      <c:scatterChart>
        <c:scatterStyle val="smoothMarker"/>
        <c:varyColors val="0"/>
        <c:ser>
          <c:idx val="2"/>
          <c:order val="2"/>
          <c:tx>
            <c:v>Percentage of CO</c:v>
          </c:tx>
          <c:marker>
            <c:symbol val="none"/>
          </c:marker>
          <c:xVal>
            <c:numRef>
              <c:f>Sheet3!$I$16:$I$27</c:f>
              <c:numCache>
                <c:formatCode>General</c:formatCode>
                <c:ptCount val="12"/>
                <c:pt idx="0">
                  <c:v>1.4285714285714286</c:v>
                </c:pt>
                <c:pt idx="1">
                  <c:v>1.3333333333333333</c:v>
                </c:pt>
                <c:pt idx="2">
                  <c:v>1.25</c:v>
                </c:pt>
                <c:pt idx="3">
                  <c:v>1.1764705882352942</c:v>
                </c:pt>
                <c:pt idx="4">
                  <c:v>1.1111111111111112</c:v>
                </c:pt>
                <c:pt idx="5">
                  <c:v>1.0526315789473684</c:v>
                </c:pt>
                <c:pt idx="6">
                  <c:v>1.0416666666666667</c:v>
                </c:pt>
                <c:pt idx="7">
                  <c:v>1.0309278350515465</c:v>
                </c:pt>
                <c:pt idx="8">
                  <c:v>1.0204081632653061</c:v>
                </c:pt>
                <c:pt idx="9">
                  <c:v>1.0101010101010102</c:v>
                </c:pt>
                <c:pt idx="10">
                  <c:v>1.0010010010010011</c:v>
                </c:pt>
                <c:pt idx="11">
                  <c:v>1</c:v>
                </c:pt>
              </c:numCache>
            </c:numRef>
          </c:xVal>
          <c:yVal>
            <c:numRef>
              <c:f>Sheet3!$O$16:$O$27</c:f>
              <c:numCache>
                <c:formatCode>General</c:formatCode>
                <c:ptCount val="12"/>
                <c:pt idx="0">
                  <c:v>0.90000000000000036</c:v>
                </c:pt>
                <c:pt idx="1">
                  <c:v>0.75</c:v>
                </c:pt>
                <c:pt idx="2">
                  <c:v>0.59999999999999964</c:v>
                </c:pt>
                <c:pt idx="3">
                  <c:v>0.45000000000000018</c:v>
                </c:pt>
                <c:pt idx="4">
                  <c:v>0.29999999999999982</c:v>
                </c:pt>
                <c:pt idx="5">
                  <c:v>0.15000000000000036</c:v>
                </c:pt>
                <c:pt idx="6">
                  <c:v>0.12000000000000011</c:v>
                </c:pt>
                <c:pt idx="7">
                  <c:v>8.9999999999999858E-2</c:v>
                </c:pt>
                <c:pt idx="8">
                  <c:v>6.0000000000000053E-2</c:v>
                </c:pt>
                <c:pt idx="9">
                  <c:v>3.0000000000000249E-2</c:v>
                </c:pt>
                <c:pt idx="10">
                  <c:v>3.0000000000001137E-3</c:v>
                </c:pt>
                <c:pt idx="11">
                  <c:v>0</c:v>
                </c:pt>
              </c:numCache>
            </c:numRef>
          </c:yVal>
          <c:smooth val="1"/>
        </c:ser>
        <c:dLbls>
          <c:showLegendKey val="0"/>
          <c:showVal val="0"/>
          <c:showCatName val="0"/>
          <c:showSerName val="0"/>
          <c:showPercent val="0"/>
          <c:showBubbleSize val="0"/>
        </c:dLbls>
        <c:axId val="180110080"/>
        <c:axId val="170978304"/>
      </c:scatterChart>
      <c:valAx>
        <c:axId val="154233856"/>
        <c:scaling>
          <c:orientation val="minMax"/>
          <c:max val="1.5"/>
          <c:min val="0.4"/>
        </c:scaling>
        <c:delete val="0"/>
        <c:axPos val="b"/>
        <c:title>
          <c:tx>
            <c:rich>
              <a:bodyPr/>
              <a:lstStyle/>
              <a:p>
                <a:pPr>
                  <a:defRPr/>
                </a:pPr>
                <a:r>
                  <a:rPr lang="en-US"/>
                  <a:t>Equivalence Ratio</a:t>
                </a:r>
              </a:p>
            </c:rich>
          </c:tx>
          <c:overlay val="0"/>
        </c:title>
        <c:numFmt formatCode="General" sourceLinked="1"/>
        <c:majorTickMark val="out"/>
        <c:minorTickMark val="none"/>
        <c:tickLblPos val="nextTo"/>
        <c:crossAx val="170976000"/>
        <c:crosses val="autoZero"/>
        <c:crossBetween val="midCat"/>
      </c:valAx>
      <c:valAx>
        <c:axId val="170976000"/>
        <c:scaling>
          <c:orientation val="minMax"/>
        </c:scaling>
        <c:delete val="0"/>
        <c:axPos val="l"/>
        <c:majorGridlines/>
        <c:title>
          <c:tx>
            <c:rich>
              <a:bodyPr rot="-5400000" vert="horz"/>
              <a:lstStyle/>
              <a:p>
                <a:pPr>
                  <a:defRPr/>
                </a:pPr>
                <a:r>
                  <a:rPr lang="en-US"/>
                  <a:t>Temp</a:t>
                </a:r>
                <a:r>
                  <a:rPr lang="en-US" baseline="0"/>
                  <a:t> (C)</a:t>
                </a:r>
                <a:endParaRPr lang="en-US"/>
              </a:p>
            </c:rich>
          </c:tx>
          <c:overlay val="0"/>
        </c:title>
        <c:numFmt formatCode="General" sourceLinked="1"/>
        <c:majorTickMark val="out"/>
        <c:minorTickMark val="none"/>
        <c:tickLblPos val="nextTo"/>
        <c:crossAx val="154233856"/>
        <c:crosses val="autoZero"/>
        <c:crossBetween val="midCat"/>
      </c:valAx>
      <c:valAx>
        <c:axId val="170978304"/>
        <c:scaling>
          <c:orientation val="minMax"/>
          <c:min val="0"/>
        </c:scaling>
        <c:delete val="0"/>
        <c:axPos val="r"/>
        <c:numFmt formatCode="General" sourceLinked="1"/>
        <c:majorTickMark val="out"/>
        <c:minorTickMark val="none"/>
        <c:tickLblPos val="nextTo"/>
        <c:crossAx val="180110080"/>
        <c:crosses val="max"/>
        <c:crossBetween val="midCat"/>
      </c:valAx>
      <c:valAx>
        <c:axId val="180110080"/>
        <c:scaling>
          <c:orientation val="minMax"/>
        </c:scaling>
        <c:delete val="1"/>
        <c:axPos val="b"/>
        <c:numFmt formatCode="General" sourceLinked="1"/>
        <c:majorTickMark val="out"/>
        <c:minorTickMark val="none"/>
        <c:tickLblPos val="nextTo"/>
        <c:crossAx val="17097830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Adiabatic Flame Temperature for IG Model</a:t>
            </a:r>
          </a:p>
        </c:rich>
      </c:tx>
      <c:overlay val="0"/>
    </c:title>
    <c:autoTitleDeleted val="0"/>
    <c:plotArea>
      <c:layout/>
      <c:scatterChart>
        <c:scatterStyle val="smoothMarker"/>
        <c:varyColors val="0"/>
        <c:ser>
          <c:idx val="0"/>
          <c:order val="0"/>
          <c:tx>
            <c:v>Air Mixture</c:v>
          </c:tx>
          <c:marker>
            <c:symbol val="none"/>
          </c:marker>
          <c:xVal>
            <c:numRef>
              <c:f>Sheet1!$P$1:$P$31</c:f>
              <c:numCache>
                <c:formatCode>General</c:formatCode>
                <c:ptCount val="31"/>
                <c:pt idx="0">
                  <c:v>1.4285714285714286</c:v>
                </c:pt>
                <c:pt idx="1">
                  <c:v>1.3333333333333333</c:v>
                </c:pt>
                <c:pt idx="2">
                  <c:v>1.25</c:v>
                </c:pt>
                <c:pt idx="3">
                  <c:v>1.1764705882352942</c:v>
                </c:pt>
                <c:pt idx="4">
                  <c:v>1.1111111111111112</c:v>
                </c:pt>
                <c:pt idx="5">
                  <c:v>1.0526315789473684</c:v>
                </c:pt>
                <c:pt idx="6">
                  <c:v>1.0416666666666667</c:v>
                </c:pt>
                <c:pt idx="7">
                  <c:v>1.0309278350515465</c:v>
                </c:pt>
                <c:pt idx="8">
                  <c:v>1.0204081632653061</c:v>
                </c:pt>
                <c:pt idx="9">
                  <c:v>1.0101010101010102</c:v>
                </c:pt>
                <c:pt idx="10">
                  <c:v>1.0010010010010011</c:v>
                </c:pt>
                <c:pt idx="11">
                  <c:v>1</c:v>
                </c:pt>
                <c:pt idx="12">
                  <c:v>0.95238095238095233</c:v>
                </c:pt>
                <c:pt idx="13">
                  <c:v>0.90909090909090906</c:v>
                </c:pt>
                <c:pt idx="14">
                  <c:v>0.86956521739130443</c:v>
                </c:pt>
                <c:pt idx="15">
                  <c:v>0.83333333333333337</c:v>
                </c:pt>
                <c:pt idx="16">
                  <c:v>0.8</c:v>
                </c:pt>
                <c:pt idx="17">
                  <c:v>0.76923076923076916</c:v>
                </c:pt>
                <c:pt idx="18">
                  <c:v>0.7407407407407407</c:v>
                </c:pt>
                <c:pt idx="19">
                  <c:v>0.7142857142857143</c:v>
                </c:pt>
                <c:pt idx="20">
                  <c:v>0.68965517241379315</c:v>
                </c:pt>
                <c:pt idx="21">
                  <c:v>0.66666666666666663</c:v>
                </c:pt>
                <c:pt idx="22">
                  <c:v>0.64516129032258063</c:v>
                </c:pt>
                <c:pt idx="23">
                  <c:v>0.625</c:v>
                </c:pt>
                <c:pt idx="24">
                  <c:v>0.60606060606060608</c:v>
                </c:pt>
                <c:pt idx="25">
                  <c:v>0.58823529411764708</c:v>
                </c:pt>
                <c:pt idx="26">
                  <c:v>0.5714285714285714</c:v>
                </c:pt>
                <c:pt idx="27">
                  <c:v>0.55555555555555558</c:v>
                </c:pt>
                <c:pt idx="28">
                  <c:v>0.54054054054054046</c:v>
                </c:pt>
                <c:pt idx="29">
                  <c:v>0.52631578947368418</c:v>
                </c:pt>
                <c:pt idx="30">
                  <c:v>0.51282051282051289</c:v>
                </c:pt>
              </c:numCache>
            </c:numRef>
          </c:xVal>
          <c:yVal>
            <c:numRef>
              <c:f>Sheet1!$Q$1:$Q$31</c:f>
              <c:numCache>
                <c:formatCode>General</c:formatCode>
                <c:ptCount val="31"/>
                <c:pt idx="0">
                  <c:v>2017</c:v>
                </c:pt>
                <c:pt idx="1">
                  <c:v>2135</c:v>
                </c:pt>
                <c:pt idx="2">
                  <c:v>2238</c:v>
                </c:pt>
                <c:pt idx="3">
                  <c:v>2339</c:v>
                </c:pt>
                <c:pt idx="4">
                  <c:v>2428</c:v>
                </c:pt>
                <c:pt idx="5">
                  <c:v>2509</c:v>
                </c:pt>
                <c:pt idx="6">
                  <c:v>2524</c:v>
                </c:pt>
                <c:pt idx="7">
                  <c:v>2540</c:v>
                </c:pt>
                <c:pt idx="8">
                  <c:v>2554</c:v>
                </c:pt>
                <c:pt idx="9">
                  <c:v>2569</c:v>
                </c:pt>
                <c:pt idx="10">
                  <c:v>2582</c:v>
                </c:pt>
                <c:pt idx="11">
                  <c:v>2584</c:v>
                </c:pt>
                <c:pt idx="12">
                  <c:v>2486</c:v>
                </c:pt>
                <c:pt idx="13">
                  <c:v>2363</c:v>
                </c:pt>
                <c:pt idx="14">
                  <c:v>2265</c:v>
                </c:pt>
                <c:pt idx="15">
                  <c:v>2175</c:v>
                </c:pt>
                <c:pt idx="16">
                  <c:v>2091</c:v>
                </c:pt>
                <c:pt idx="17">
                  <c:v>2012</c:v>
                </c:pt>
                <c:pt idx="18">
                  <c:v>1941</c:v>
                </c:pt>
                <c:pt idx="19">
                  <c:v>1872</c:v>
                </c:pt>
                <c:pt idx="20">
                  <c:v>1826</c:v>
                </c:pt>
                <c:pt idx="21">
                  <c:v>1749</c:v>
                </c:pt>
                <c:pt idx="22">
                  <c:v>1693</c:v>
                </c:pt>
                <c:pt idx="23">
                  <c:v>1640</c:v>
                </c:pt>
                <c:pt idx="24">
                  <c:v>1589</c:v>
                </c:pt>
                <c:pt idx="25">
                  <c:v>1542</c:v>
                </c:pt>
                <c:pt idx="26">
                  <c:v>1497</c:v>
                </c:pt>
                <c:pt idx="27">
                  <c:v>1455</c:v>
                </c:pt>
                <c:pt idx="28">
                  <c:v>1416</c:v>
                </c:pt>
                <c:pt idx="29">
                  <c:v>1376</c:v>
                </c:pt>
                <c:pt idx="30">
                  <c:v>1340</c:v>
                </c:pt>
              </c:numCache>
            </c:numRef>
          </c:yVal>
          <c:smooth val="1"/>
        </c:ser>
        <c:ser>
          <c:idx val="1"/>
          <c:order val="1"/>
          <c:tx>
            <c:v>Pure O2</c:v>
          </c:tx>
          <c:marker>
            <c:symbol val="none"/>
          </c:marker>
          <c:xVal>
            <c:numRef>
              <c:f>Sheet2!$P$1:$P$31</c:f>
              <c:numCache>
                <c:formatCode>General</c:formatCode>
                <c:ptCount val="31"/>
                <c:pt idx="0">
                  <c:v>1.4285714285714286</c:v>
                </c:pt>
                <c:pt idx="1">
                  <c:v>1.3333333333333333</c:v>
                </c:pt>
                <c:pt idx="2">
                  <c:v>1.25</c:v>
                </c:pt>
                <c:pt idx="3">
                  <c:v>1.1764705882352942</c:v>
                </c:pt>
                <c:pt idx="4">
                  <c:v>1.1111111111111112</c:v>
                </c:pt>
                <c:pt idx="5">
                  <c:v>1.0526315789473684</c:v>
                </c:pt>
                <c:pt idx="6">
                  <c:v>1.0416666666666667</c:v>
                </c:pt>
                <c:pt idx="7">
                  <c:v>1.0309278350515465</c:v>
                </c:pt>
                <c:pt idx="8">
                  <c:v>1.0204081632653061</c:v>
                </c:pt>
                <c:pt idx="9">
                  <c:v>1.0101010101010102</c:v>
                </c:pt>
                <c:pt idx="10">
                  <c:v>1.0010010010010011</c:v>
                </c:pt>
                <c:pt idx="11">
                  <c:v>1</c:v>
                </c:pt>
                <c:pt idx="12">
                  <c:v>0.95238095238095233</c:v>
                </c:pt>
                <c:pt idx="13">
                  <c:v>0.90909090909090906</c:v>
                </c:pt>
                <c:pt idx="14">
                  <c:v>0.86956521739130443</c:v>
                </c:pt>
                <c:pt idx="15">
                  <c:v>0.83333333333333337</c:v>
                </c:pt>
                <c:pt idx="16">
                  <c:v>0.8</c:v>
                </c:pt>
                <c:pt idx="17">
                  <c:v>0.76923076923076916</c:v>
                </c:pt>
                <c:pt idx="18">
                  <c:v>0.7407407407407407</c:v>
                </c:pt>
                <c:pt idx="19">
                  <c:v>0.7142857142857143</c:v>
                </c:pt>
                <c:pt idx="20">
                  <c:v>0.68965517241379315</c:v>
                </c:pt>
                <c:pt idx="21">
                  <c:v>0.66666666666666663</c:v>
                </c:pt>
                <c:pt idx="22">
                  <c:v>0.64516129032258063</c:v>
                </c:pt>
                <c:pt idx="23">
                  <c:v>0.625</c:v>
                </c:pt>
                <c:pt idx="24">
                  <c:v>0.60606060606060608</c:v>
                </c:pt>
                <c:pt idx="25">
                  <c:v>0.58823529411764708</c:v>
                </c:pt>
                <c:pt idx="26">
                  <c:v>0.5714285714285714</c:v>
                </c:pt>
                <c:pt idx="27">
                  <c:v>0.55555555555555558</c:v>
                </c:pt>
                <c:pt idx="28">
                  <c:v>0.54054054054054046</c:v>
                </c:pt>
                <c:pt idx="29">
                  <c:v>0.52631578947368418</c:v>
                </c:pt>
                <c:pt idx="30">
                  <c:v>0.51282051282051289</c:v>
                </c:pt>
              </c:numCache>
            </c:numRef>
          </c:xVal>
          <c:yVal>
            <c:numRef>
              <c:f>Sheet2!$Q$1:$Q$31</c:f>
              <c:numCache>
                <c:formatCode>General</c:formatCode>
                <c:ptCount val="31"/>
                <c:pt idx="0">
                  <c:v>4020</c:v>
                </c:pt>
                <c:pt idx="1">
                  <c:v>4284</c:v>
                </c:pt>
                <c:pt idx="2">
                  <c:v>4527</c:v>
                </c:pt>
                <c:pt idx="3">
                  <c:v>4753</c:v>
                </c:pt>
                <c:pt idx="4">
                  <c:v>4963</c:v>
                </c:pt>
                <c:pt idx="5">
                  <c:v>5159</c:v>
                </c:pt>
                <c:pt idx="6">
                  <c:v>5196</c:v>
                </c:pt>
                <c:pt idx="7">
                  <c:v>5234</c:v>
                </c:pt>
                <c:pt idx="8">
                  <c:v>5270</c:v>
                </c:pt>
                <c:pt idx="9">
                  <c:v>5306</c:v>
                </c:pt>
                <c:pt idx="10">
                  <c:v>5338</c:v>
                </c:pt>
                <c:pt idx="11">
                  <c:v>5342</c:v>
                </c:pt>
                <c:pt idx="12">
                  <c:v>5209</c:v>
                </c:pt>
                <c:pt idx="13">
                  <c:v>5082</c:v>
                </c:pt>
                <c:pt idx="14">
                  <c:v>4961</c:v>
                </c:pt>
                <c:pt idx="15">
                  <c:v>4846</c:v>
                </c:pt>
                <c:pt idx="16">
                  <c:v>4736</c:v>
                </c:pt>
                <c:pt idx="17">
                  <c:v>4630</c:v>
                </c:pt>
                <c:pt idx="18">
                  <c:v>4529</c:v>
                </c:pt>
                <c:pt idx="19">
                  <c:v>4433</c:v>
                </c:pt>
                <c:pt idx="20">
                  <c:v>4350</c:v>
                </c:pt>
                <c:pt idx="21">
                  <c:v>4250</c:v>
                </c:pt>
                <c:pt idx="22">
                  <c:v>4164</c:v>
                </c:pt>
                <c:pt idx="23">
                  <c:v>4100</c:v>
                </c:pt>
                <c:pt idx="24">
                  <c:v>4002</c:v>
                </c:pt>
                <c:pt idx="25">
                  <c:v>3925</c:v>
                </c:pt>
                <c:pt idx="26">
                  <c:v>3851</c:v>
                </c:pt>
                <c:pt idx="27">
                  <c:v>3780</c:v>
                </c:pt>
                <c:pt idx="28">
                  <c:v>3711</c:v>
                </c:pt>
                <c:pt idx="29">
                  <c:v>3644</c:v>
                </c:pt>
                <c:pt idx="30">
                  <c:v>3579</c:v>
                </c:pt>
              </c:numCache>
            </c:numRef>
          </c:yVal>
          <c:smooth val="1"/>
        </c:ser>
        <c:dLbls>
          <c:showLegendKey val="0"/>
          <c:showVal val="0"/>
          <c:showCatName val="0"/>
          <c:showSerName val="0"/>
          <c:showPercent val="0"/>
          <c:showBubbleSize val="0"/>
        </c:dLbls>
        <c:axId val="34481280"/>
        <c:axId val="34483200"/>
      </c:scatterChart>
      <c:scatterChart>
        <c:scatterStyle val="smoothMarker"/>
        <c:varyColors val="0"/>
        <c:ser>
          <c:idx val="2"/>
          <c:order val="2"/>
          <c:tx>
            <c:v>Percentage of CO</c:v>
          </c:tx>
          <c:marker>
            <c:symbol val="none"/>
          </c:marker>
          <c:xVal>
            <c:numRef>
              <c:f>Sheet1!$I$16:$I$27</c:f>
              <c:numCache>
                <c:formatCode>General</c:formatCode>
                <c:ptCount val="12"/>
                <c:pt idx="0">
                  <c:v>1.4285714285714286</c:v>
                </c:pt>
                <c:pt idx="1">
                  <c:v>1.3333333333333333</c:v>
                </c:pt>
                <c:pt idx="2">
                  <c:v>1.25</c:v>
                </c:pt>
                <c:pt idx="3">
                  <c:v>1.1764705882352942</c:v>
                </c:pt>
                <c:pt idx="4">
                  <c:v>1.1111111111111112</c:v>
                </c:pt>
                <c:pt idx="5">
                  <c:v>1.0526315789473684</c:v>
                </c:pt>
                <c:pt idx="6">
                  <c:v>1.0416666666666667</c:v>
                </c:pt>
                <c:pt idx="7">
                  <c:v>1.0309278350515465</c:v>
                </c:pt>
                <c:pt idx="8">
                  <c:v>1.0204081632653061</c:v>
                </c:pt>
                <c:pt idx="9">
                  <c:v>1.0101010101010102</c:v>
                </c:pt>
                <c:pt idx="10">
                  <c:v>1.0010010010010011</c:v>
                </c:pt>
                <c:pt idx="11">
                  <c:v>1</c:v>
                </c:pt>
              </c:numCache>
            </c:numRef>
          </c:xVal>
          <c:yVal>
            <c:numRef>
              <c:f>Sheet1!$O$16:$O$27</c:f>
              <c:numCache>
                <c:formatCode>General</c:formatCode>
                <c:ptCount val="12"/>
                <c:pt idx="0">
                  <c:v>0.90000000000000036</c:v>
                </c:pt>
                <c:pt idx="1">
                  <c:v>0.75</c:v>
                </c:pt>
                <c:pt idx="2">
                  <c:v>0.59999999999999964</c:v>
                </c:pt>
                <c:pt idx="3">
                  <c:v>0.45000000000000018</c:v>
                </c:pt>
                <c:pt idx="4">
                  <c:v>0.29999999999999982</c:v>
                </c:pt>
                <c:pt idx="5">
                  <c:v>0.15000000000000036</c:v>
                </c:pt>
                <c:pt idx="6">
                  <c:v>0.12000000000000011</c:v>
                </c:pt>
                <c:pt idx="7">
                  <c:v>8.9999999999999858E-2</c:v>
                </c:pt>
                <c:pt idx="8">
                  <c:v>6.0000000000000053E-2</c:v>
                </c:pt>
                <c:pt idx="9">
                  <c:v>3.0000000000000249E-2</c:v>
                </c:pt>
                <c:pt idx="10">
                  <c:v>3.0000000000001137E-3</c:v>
                </c:pt>
                <c:pt idx="11">
                  <c:v>0</c:v>
                </c:pt>
              </c:numCache>
            </c:numRef>
          </c:yVal>
          <c:smooth val="1"/>
        </c:ser>
        <c:dLbls>
          <c:showLegendKey val="0"/>
          <c:showVal val="0"/>
          <c:showCatName val="0"/>
          <c:showSerName val="0"/>
          <c:showPercent val="0"/>
          <c:showBubbleSize val="0"/>
        </c:dLbls>
        <c:axId val="34491008"/>
        <c:axId val="34489472"/>
      </c:scatterChart>
      <c:valAx>
        <c:axId val="34481280"/>
        <c:scaling>
          <c:orientation val="minMax"/>
          <c:max val="1.5"/>
          <c:min val="0.4"/>
        </c:scaling>
        <c:delete val="0"/>
        <c:axPos val="b"/>
        <c:title>
          <c:tx>
            <c:rich>
              <a:bodyPr/>
              <a:lstStyle/>
              <a:p>
                <a:pPr>
                  <a:defRPr/>
                </a:pPr>
                <a:r>
                  <a:rPr lang="en-US"/>
                  <a:t>Phi</a:t>
                </a:r>
              </a:p>
            </c:rich>
          </c:tx>
          <c:overlay val="0"/>
        </c:title>
        <c:numFmt formatCode="General" sourceLinked="1"/>
        <c:majorTickMark val="out"/>
        <c:minorTickMark val="none"/>
        <c:tickLblPos val="nextTo"/>
        <c:crossAx val="34483200"/>
        <c:crosses val="autoZero"/>
        <c:crossBetween val="midCat"/>
      </c:valAx>
      <c:valAx>
        <c:axId val="34483200"/>
        <c:scaling>
          <c:orientation val="minMax"/>
        </c:scaling>
        <c:delete val="0"/>
        <c:axPos val="l"/>
        <c:majorGridlines/>
        <c:title>
          <c:tx>
            <c:rich>
              <a:bodyPr rot="-5400000" vert="horz"/>
              <a:lstStyle/>
              <a:p>
                <a:pPr>
                  <a:defRPr/>
                </a:pPr>
                <a:r>
                  <a:rPr lang="en-US"/>
                  <a:t>Temperatur (C)</a:t>
                </a:r>
              </a:p>
            </c:rich>
          </c:tx>
          <c:overlay val="0"/>
        </c:title>
        <c:numFmt formatCode="General" sourceLinked="1"/>
        <c:majorTickMark val="out"/>
        <c:minorTickMark val="none"/>
        <c:tickLblPos val="nextTo"/>
        <c:crossAx val="34481280"/>
        <c:crosses val="autoZero"/>
        <c:crossBetween val="midCat"/>
      </c:valAx>
      <c:valAx>
        <c:axId val="34489472"/>
        <c:scaling>
          <c:orientation val="minMax"/>
          <c:min val="0"/>
        </c:scaling>
        <c:delete val="0"/>
        <c:axPos val="r"/>
        <c:numFmt formatCode="General" sourceLinked="1"/>
        <c:majorTickMark val="out"/>
        <c:minorTickMark val="none"/>
        <c:tickLblPos val="nextTo"/>
        <c:crossAx val="34491008"/>
        <c:crosses val="max"/>
        <c:crossBetween val="midCat"/>
      </c:valAx>
      <c:valAx>
        <c:axId val="34491008"/>
        <c:scaling>
          <c:orientation val="minMax"/>
        </c:scaling>
        <c:delete val="1"/>
        <c:axPos val="b"/>
        <c:numFmt formatCode="General" sourceLinked="1"/>
        <c:majorTickMark val="out"/>
        <c:minorTickMark val="none"/>
        <c:tickLblPos val="nextTo"/>
        <c:crossAx val="34489472"/>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Taf with Varying Percentage</a:t>
            </a:r>
            <a:r>
              <a:rPr lang="en-US" baseline="0"/>
              <a:t> of Methane</a:t>
            </a:r>
            <a:endParaRPr lang="en-US"/>
          </a:p>
        </c:rich>
      </c:tx>
      <c:overlay val="0"/>
    </c:title>
    <c:autoTitleDeleted val="0"/>
    <c:plotArea>
      <c:layout/>
      <c:scatterChart>
        <c:scatterStyle val="smoothMarker"/>
        <c:varyColors val="0"/>
        <c:ser>
          <c:idx val="0"/>
          <c:order val="0"/>
          <c:marker>
            <c:symbol val="none"/>
          </c:marker>
          <c:xVal>
            <c:numRef>
              <c:f>Sheet4!$A$2:$A$12</c:f>
              <c:numCache>
                <c:formatCode>General</c:formatCode>
                <c:ptCount val="11"/>
                <c:pt idx="0">
                  <c:v>0</c:v>
                </c:pt>
                <c:pt idx="1">
                  <c:v>0.1</c:v>
                </c:pt>
                <c:pt idx="2">
                  <c:v>0.2</c:v>
                </c:pt>
                <c:pt idx="3">
                  <c:v>0.3</c:v>
                </c:pt>
                <c:pt idx="4">
                  <c:v>0.4</c:v>
                </c:pt>
                <c:pt idx="5">
                  <c:v>0.5</c:v>
                </c:pt>
                <c:pt idx="6">
                  <c:v>0.6</c:v>
                </c:pt>
                <c:pt idx="7">
                  <c:v>0.7</c:v>
                </c:pt>
                <c:pt idx="8">
                  <c:v>0.8</c:v>
                </c:pt>
                <c:pt idx="9">
                  <c:v>0.9</c:v>
                </c:pt>
                <c:pt idx="10">
                  <c:v>1</c:v>
                </c:pt>
              </c:numCache>
            </c:numRef>
          </c:xVal>
          <c:yVal>
            <c:numRef>
              <c:f>Sheet4!$H$2:$H$12</c:f>
              <c:numCache>
                <c:formatCode>General</c:formatCode>
                <c:ptCount val="11"/>
                <c:pt idx="0">
                  <c:v>2647.7672620634503</c:v>
                </c:pt>
                <c:pt idx="1">
                  <c:v>2669.839385304791</c:v>
                </c:pt>
                <c:pt idx="2">
                  <c:v>2688.3977405182463</c:v>
                </c:pt>
                <c:pt idx="3">
                  <c:v>2704.2195253617924</c:v>
                </c:pt>
                <c:pt idx="4">
                  <c:v>2717.8684688865683</c:v>
                </c:pt>
                <c:pt idx="5">
                  <c:v>2729.7634126481494</c:v>
                </c:pt>
                <c:pt idx="6">
                  <c:v>2740.2220484221989</c:v>
                </c:pt>
                <c:pt idx="7">
                  <c:v>2749.4897141116303</c:v>
                </c:pt>
                <c:pt idx="8">
                  <c:v>2757.7588822476414</c:v>
                </c:pt>
                <c:pt idx="9">
                  <c:v>2765.1826714073909</c:v>
                </c:pt>
                <c:pt idx="10">
                  <c:v>2771.8844152287047</c:v>
                </c:pt>
              </c:numCache>
            </c:numRef>
          </c:yVal>
          <c:smooth val="1"/>
        </c:ser>
        <c:dLbls>
          <c:showLegendKey val="0"/>
          <c:showVal val="0"/>
          <c:showCatName val="0"/>
          <c:showSerName val="0"/>
          <c:showPercent val="0"/>
          <c:showBubbleSize val="0"/>
        </c:dLbls>
        <c:axId val="34503296"/>
        <c:axId val="34505472"/>
      </c:scatterChart>
      <c:valAx>
        <c:axId val="34503296"/>
        <c:scaling>
          <c:orientation val="minMax"/>
          <c:max val="1"/>
        </c:scaling>
        <c:delete val="0"/>
        <c:axPos val="b"/>
        <c:title>
          <c:tx>
            <c:rich>
              <a:bodyPr/>
              <a:lstStyle/>
              <a:p>
                <a:pPr>
                  <a:defRPr/>
                </a:pPr>
                <a:r>
                  <a:rPr lang="en-US"/>
                  <a:t>Percentage of Methane in Mixture of Methane</a:t>
                </a:r>
                <a:r>
                  <a:rPr lang="en-US" baseline="0"/>
                  <a:t> and Carbon</a:t>
                </a:r>
                <a:endParaRPr lang="en-US"/>
              </a:p>
            </c:rich>
          </c:tx>
          <c:overlay val="0"/>
        </c:title>
        <c:numFmt formatCode="General" sourceLinked="1"/>
        <c:majorTickMark val="out"/>
        <c:minorTickMark val="none"/>
        <c:tickLblPos val="nextTo"/>
        <c:crossAx val="34505472"/>
        <c:crosses val="autoZero"/>
        <c:crossBetween val="midCat"/>
      </c:valAx>
      <c:valAx>
        <c:axId val="34505472"/>
        <c:scaling>
          <c:orientation val="minMax"/>
        </c:scaling>
        <c:delete val="0"/>
        <c:axPos val="l"/>
        <c:majorGridlines/>
        <c:title>
          <c:tx>
            <c:rich>
              <a:bodyPr rot="-5400000" vert="horz"/>
              <a:lstStyle/>
              <a:p>
                <a:pPr>
                  <a:defRPr/>
                </a:pPr>
                <a:r>
                  <a:rPr lang="en-US"/>
                  <a:t>Adabatic Flame Temperature (C)</a:t>
                </a:r>
              </a:p>
            </c:rich>
          </c:tx>
          <c:overlay val="0"/>
        </c:title>
        <c:numFmt formatCode="General" sourceLinked="1"/>
        <c:majorTickMark val="out"/>
        <c:minorTickMark val="none"/>
        <c:tickLblPos val="nextTo"/>
        <c:crossAx val="3450329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5</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8</cp:revision>
  <dcterms:created xsi:type="dcterms:W3CDTF">2011-11-28T01:09:00Z</dcterms:created>
  <dcterms:modified xsi:type="dcterms:W3CDTF">2011-12-07T08:26:00Z</dcterms:modified>
</cp:coreProperties>
</file>